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625AB2">
      <w:pPr>
        <w:spacing w:line="360" w:lineRule="auto"/>
        <w:jc w:val="center"/>
        <w:rPr>
          <w:rFonts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rPr>
        <w:t xml:space="preserve"> </w:t>
      </w:r>
    </w:p>
    <w:p w14:paraId="1746E969">
      <w:pPr>
        <w:spacing w:line="360" w:lineRule="auto"/>
        <w:jc w:val="center"/>
        <w:rPr>
          <w:rFonts w:ascii="仿宋_GB2312" w:eastAsia="仿宋_GB2312"/>
          <w:sz w:val="32"/>
          <w:szCs w:val="32"/>
        </w:rPr>
      </w:pPr>
    </w:p>
    <w:p w14:paraId="26A4578E">
      <w:pPr>
        <w:spacing w:line="360" w:lineRule="auto"/>
        <w:jc w:val="center"/>
        <w:rPr>
          <w:rFonts w:ascii="仿宋_GB2312" w:eastAsia="仿宋_GB2312"/>
          <w:sz w:val="32"/>
          <w:szCs w:val="32"/>
        </w:rPr>
      </w:pPr>
    </w:p>
    <w:p w14:paraId="496476C3">
      <w:pPr>
        <w:spacing w:line="360" w:lineRule="auto"/>
        <w:jc w:val="center"/>
        <w:rPr>
          <w:rFonts w:ascii="仿宋_GB2312" w:eastAsia="仿宋_GB2312"/>
          <w:sz w:val="32"/>
          <w:szCs w:val="32"/>
        </w:rPr>
      </w:pPr>
    </w:p>
    <w:p w14:paraId="27DA98B0">
      <w:pPr>
        <w:spacing w:line="360" w:lineRule="auto"/>
        <w:jc w:val="center"/>
        <w:rPr>
          <w:rFonts w:ascii="仿宋_GB2312" w:eastAsia="仿宋_GB2312"/>
          <w:sz w:val="32"/>
          <w:szCs w:val="32"/>
        </w:rPr>
      </w:pPr>
    </w:p>
    <w:p w14:paraId="54B7E701">
      <w:pPr>
        <w:spacing w:line="360" w:lineRule="auto"/>
        <w:ind w:firstLine="2240" w:firstLineChars="700"/>
        <w:jc w:val="both"/>
        <w:rPr>
          <w:rFonts w:ascii="仿宋_GB2312" w:eastAsia="仿宋_GB2312"/>
          <w:sz w:val="32"/>
          <w:szCs w:val="32"/>
        </w:rPr>
      </w:pPr>
      <w:r>
        <w:rPr>
          <w:rFonts w:hint="eastAsia" w:ascii="仿宋_GB2312" w:eastAsia="仿宋_GB2312"/>
          <w:sz w:val="32"/>
          <w:szCs w:val="32"/>
        </w:rPr>
        <w:t>砀环建函〔20</w:t>
      </w:r>
      <w:r>
        <w:rPr>
          <w:rFonts w:ascii="仿宋_GB2312" w:eastAsia="仿宋_GB2312"/>
          <w:sz w:val="32"/>
          <w:szCs w:val="32"/>
        </w:rPr>
        <w:t>25</w:t>
      </w:r>
      <w:r>
        <w:rPr>
          <w:rFonts w:hint="eastAsia" w:ascii="仿宋_GB2312" w:eastAsia="仿宋_GB2312"/>
          <w:sz w:val="32"/>
          <w:szCs w:val="32"/>
        </w:rPr>
        <w:t>〕</w:t>
      </w:r>
      <w:r>
        <w:rPr>
          <w:rFonts w:hint="eastAsia" w:ascii="仿宋_GB2312" w:eastAsia="仿宋_GB2312"/>
          <w:sz w:val="32"/>
          <w:szCs w:val="32"/>
          <w:lang w:val="en-US" w:eastAsia="zh-CN"/>
        </w:rPr>
        <w:t>16</w:t>
      </w:r>
      <w:r>
        <w:rPr>
          <w:rFonts w:hint="eastAsia" w:ascii="仿宋_GB2312" w:eastAsia="仿宋_GB2312"/>
          <w:sz w:val="32"/>
          <w:szCs w:val="32"/>
        </w:rPr>
        <w:t>号</w:t>
      </w:r>
    </w:p>
    <w:p w14:paraId="5E9C32FB">
      <w:pPr>
        <w:spacing w:line="400" w:lineRule="exact"/>
        <w:jc w:val="center"/>
        <w:rPr>
          <w:rFonts w:ascii="宋体" w:hAnsi="宋体"/>
          <w:b/>
          <w:sz w:val="44"/>
          <w:szCs w:val="44"/>
        </w:rPr>
      </w:pPr>
    </w:p>
    <w:p w14:paraId="498B8455">
      <w:pPr>
        <w:widowControl/>
        <w:spacing w:line="560" w:lineRule="exact"/>
        <w:jc w:val="center"/>
        <w:rPr>
          <w:rFonts w:hint="eastAsia" w:ascii="宋体" w:hAnsi="宋体" w:eastAsia="宋体" w:cs="宋体"/>
          <w:b/>
          <w:bCs/>
          <w:color w:val="000000"/>
          <w:kern w:val="36"/>
          <w:sz w:val="40"/>
          <w:szCs w:val="40"/>
          <w:lang w:eastAsia="zh-CN"/>
        </w:rPr>
      </w:pPr>
      <w:r>
        <w:rPr>
          <w:rFonts w:hint="eastAsia" w:cs="方正小标宋_GBK" w:asciiTheme="majorEastAsia" w:hAnsiTheme="majorEastAsia" w:eastAsiaTheme="majorEastAsia"/>
          <w:b/>
          <w:sz w:val="44"/>
          <w:szCs w:val="44"/>
        </w:rPr>
        <w:t>关于</w:t>
      </w:r>
      <w:r>
        <w:rPr>
          <w:rFonts w:hint="eastAsia" w:ascii="宋体" w:hAnsi="宋体" w:eastAsia="宋体" w:cs="宋体"/>
          <w:b/>
          <w:bCs/>
          <w:color w:val="000000"/>
          <w:kern w:val="36"/>
          <w:sz w:val="40"/>
          <w:szCs w:val="40"/>
          <w:lang w:eastAsia="zh-CN"/>
        </w:rPr>
        <w:t>安徽恩翔体育用品有限公司</w:t>
      </w:r>
    </w:p>
    <w:p w14:paraId="4E280F15">
      <w:pPr>
        <w:widowControl/>
        <w:spacing w:line="560" w:lineRule="exact"/>
        <w:jc w:val="center"/>
        <w:rPr>
          <w:rFonts w:cs="方正小标宋_GBK" w:asciiTheme="majorEastAsia" w:hAnsiTheme="majorEastAsia" w:eastAsiaTheme="majorEastAsia"/>
          <w:b/>
          <w:sz w:val="44"/>
          <w:szCs w:val="44"/>
        </w:rPr>
      </w:pPr>
      <w:r>
        <w:rPr>
          <w:rFonts w:hint="eastAsia" w:ascii="宋体" w:hAnsi="宋体" w:eastAsia="宋体" w:cs="宋体"/>
          <w:b/>
          <w:bCs/>
          <w:color w:val="000000"/>
          <w:kern w:val="36"/>
          <w:sz w:val="40"/>
          <w:szCs w:val="40"/>
          <w:lang w:eastAsia="zh-CN"/>
        </w:rPr>
        <w:t>年产120万支碳纤维羽毛球拍、沙滩拍、匹克拍生产基地建设项目</w:t>
      </w:r>
      <w:r>
        <w:rPr>
          <w:rFonts w:hint="eastAsia" w:cs="方正小标宋_GBK" w:asciiTheme="majorEastAsia" w:hAnsiTheme="majorEastAsia" w:eastAsiaTheme="majorEastAsia"/>
          <w:b/>
          <w:sz w:val="44"/>
          <w:szCs w:val="44"/>
        </w:rPr>
        <w:t>环境影响报告表审批意见的函</w:t>
      </w:r>
    </w:p>
    <w:p w14:paraId="1B004B59">
      <w:pPr>
        <w:widowControl/>
        <w:spacing w:line="460" w:lineRule="exact"/>
        <w:jc w:val="left"/>
        <w:rPr>
          <w:rFonts w:ascii="方正小标宋简体" w:hAnsi="方正小标宋简体" w:eastAsia="方正小标宋简体" w:cs="方正小标宋简体"/>
          <w:bCs/>
          <w:sz w:val="44"/>
          <w:szCs w:val="44"/>
        </w:rPr>
      </w:pPr>
    </w:p>
    <w:p w14:paraId="315155B3">
      <w:pPr>
        <w:keepNext w:val="0"/>
        <w:keepLines w:val="0"/>
        <w:pageBreakBefore w:val="0"/>
        <w:kinsoku/>
        <w:wordWrap/>
        <w:overflowPunct/>
        <w:topLinePunct w:val="0"/>
        <w:autoSpaceDE/>
        <w:autoSpaceDN/>
        <w:bidi w:val="0"/>
        <w:spacing w:line="350" w:lineRule="exact"/>
        <w:textAlignment w:val="auto"/>
        <w:rPr>
          <w:rFonts w:ascii="仿宋" w:hAnsi="仿宋" w:eastAsia="仿宋"/>
          <w:sz w:val="32"/>
          <w:szCs w:val="32"/>
        </w:rPr>
      </w:pPr>
      <w:r>
        <w:rPr>
          <w:rFonts w:hint="eastAsia" w:ascii="仿宋" w:hAnsi="仿宋" w:eastAsia="仿宋"/>
          <w:sz w:val="32"/>
          <w:szCs w:val="32"/>
          <w:lang w:eastAsia="zh-CN"/>
        </w:rPr>
        <w:t>安徽恩翔体育用品有限公司</w:t>
      </w:r>
      <w:r>
        <w:rPr>
          <w:rFonts w:hint="eastAsia" w:ascii="仿宋" w:hAnsi="仿宋" w:eastAsia="仿宋"/>
          <w:sz w:val="32"/>
          <w:szCs w:val="32"/>
        </w:rPr>
        <w:t>：</w:t>
      </w:r>
    </w:p>
    <w:p w14:paraId="5CC29873">
      <w:pPr>
        <w:keepNext w:val="0"/>
        <w:keepLines w:val="0"/>
        <w:pageBreakBefore w:val="0"/>
        <w:kinsoku/>
        <w:wordWrap/>
        <w:overflowPunct/>
        <w:topLinePunct w:val="0"/>
        <w:autoSpaceDE/>
        <w:autoSpaceDN/>
        <w:bidi w:val="0"/>
        <w:spacing w:line="350" w:lineRule="exact"/>
        <w:ind w:firstLine="640" w:firstLineChars="200"/>
        <w:textAlignment w:val="auto"/>
        <w:rPr>
          <w:rFonts w:ascii="仿宋" w:hAnsi="仿宋" w:eastAsia="仿宋"/>
          <w:sz w:val="32"/>
          <w:szCs w:val="32"/>
        </w:rPr>
      </w:pPr>
      <w:r>
        <w:rPr>
          <w:rFonts w:hint="eastAsia" w:ascii="仿宋" w:hAnsi="仿宋" w:eastAsia="仿宋"/>
          <w:sz w:val="32"/>
          <w:szCs w:val="32"/>
        </w:rPr>
        <w:t>报来《</w:t>
      </w:r>
      <w:r>
        <w:rPr>
          <w:rFonts w:hint="eastAsia" w:ascii="仿宋" w:hAnsi="仿宋" w:eastAsia="仿宋"/>
          <w:sz w:val="32"/>
          <w:szCs w:val="32"/>
          <w:lang w:eastAsia="zh-CN"/>
        </w:rPr>
        <w:t>安徽恩翔体育用品有限公司年产120万支碳纤维羽毛球拍、沙滩拍、匹克拍生产基地建设项目</w:t>
      </w:r>
      <w:r>
        <w:rPr>
          <w:rFonts w:hint="eastAsia" w:ascii="仿宋_GB2312" w:eastAsia="仿宋_GB2312"/>
          <w:sz w:val="32"/>
          <w:szCs w:val="32"/>
        </w:rPr>
        <w:t>环境影响报告表</w:t>
      </w:r>
      <w:r>
        <w:rPr>
          <w:rFonts w:hint="eastAsia" w:ascii="仿宋" w:hAnsi="仿宋" w:eastAsia="仿宋"/>
          <w:sz w:val="32"/>
          <w:szCs w:val="32"/>
        </w:rPr>
        <w:t>》（以下简称《报告表》）悉。经研究，现批复如下：</w:t>
      </w:r>
    </w:p>
    <w:p w14:paraId="355C6D7F">
      <w:pPr>
        <w:keepNext w:val="0"/>
        <w:keepLines w:val="0"/>
        <w:pageBreakBefore w:val="0"/>
        <w:widowControl/>
        <w:kinsoku/>
        <w:wordWrap/>
        <w:overflowPunct/>
        <w:topLinePunct w:val="0"/>
        <w:autoSpaceDE/>
        <w:autoSpaceDN/>
        <w:bidi w:val="0"/>
        <w:spacing w:line="350" w:lineRule="exact"/>
        <w:textAlignment w:val="auto"/>
        <w:rPr>
          <w:rFonts w:ascii="仿宋" w:hAnsi="仿宋" w:eastAsia="仿宋"/>
          <w:sz w:val="32"/>
          <w:szCs w:val="32"/>
        </w:rPr>
      </w:pPr>
      <w:r>
        <w:rPr>
          <w:rFonts w:hint="eastAsia" w:ascii="仿宋" w:hAnsi="仿宋" w:eastAsia="仿宋"/>
          <w:sz w:val="32"/>
          <w:szCs w:val="32"/>
        </w:rPr>
        <w:t xml:space="preserve">    一、原则同意《报告表》评价结论,</w:t>
      </w:r>
      <w:r>
        <w:rPr>
          <w:rFonts w:hint="eastAsia" w:ascii="仿宋" w:hAnsi="仿宋" w:eastAsia="仿宋"/>
          <w:sz w:val="32"/>
          <w:szCs w:val="32"/>
          <w:lang w:eastAsia="zh-CN"/>
        </w:rPr>
        <w:t>安徽恩翔体育用品有限公司</w:t>
      </w:r>
      <w:r>
        <w:rPr>
          <w:rFonts w:hint="eastAsia" w:ascii="仿宋" w:hAnsi="仿宋" w:eastAsia="仿宋"/>
          <w:sz w:val="32"/>
          <w:szCs w:val="32"/>
        </w:rPr>
        <w:t>总投资</w:t>
      </w:r>
      <w:r>
        <w:rPr>
          <w:rFonts w:hint="eastAsia" w:ascii="仿宋" w:hAnsi="仿宋" w:eastAsia="仿宋"/>
          <w:sz w:val="32"/>
          <w:szCs w:val="32"/>
          <w:lang w:val="en-US" w:eastAsia="zh-CN"/>
        </w:rPr>
        <w:t>5000</w:t>
      </w:r>
      <w:r>
        <w:rPr>
          <w:rFonts w:hint="eastAsia" w:ascii="仿宋" w:hAnsi="仿宋" w:eastAsia="仿宋"/>
          <w:sz w:val="32"/>
          <w:szCs w:val="32"/>
        </w:rPr>
        <w:t>万元在</w:t>
      </w:r>
      <w:r>
        <w:rPr>
          <w:rFonts w:hint="eastAsia" w:ascii="仿宋" w:hAnsi="仿宋" w:eastAsia="仿宋"/>
          <w:sz w:val="32"/>
          <w:szCs w:val="32"/>
          <w:lang w:val="en-US" w:eastAsia="zh-CN"/>
        </w:rPr>
        <w:t>安徽省宿州市砀山县经济开发区惠民社区二期标准化厂房8号楼</w:t>
      </w:r>
      <w:r>
        <w:rPr>
          <w:rFonts w:hint="eastAsia" w:ascii="仿宋" w:hAnsi="仿宋" w:eastAsia="仿宋"/>
          <w:sz w:val="32"/>
          <w:szCs w:val="32"/>
        </w:rPr>
        <w:t>投资</w:t>
      </w:r>
      <w:r>
        <w:rPr>
          <w:rFonts w:ascii="仿宋" w:hAnsi="仿宋" w:eastAsia="仿宋"/>
          <w:sz w:val="32"/>
          <w:szCs w:val="32"/>
        </w:rPr>
        <w:t>建设的</w:t>
      </w:r>
      <w:r>
        <w:rPr>
          <w:rFonts w:hint="eastAsia" w:ascii="仿宋" w:hAnsi="仿宋" w:eastAsia="仿宋"/>
          <w:sz w:val="32"/>
          <w:szCs w:val="32"/>
          <w:lang w:eastAsia="zh-CN"/>
        </w:rPr>
        <w:t>年产120万支碳纤维羽毛球拍、沙滩拍、匹克拍生产基地建设项目</w:t>
      </w:r>
      <w:r>
        <w:rPr>
          <w:rFonts w:hint="eastAsia" w:ascii="仿宋" w:hAnsi="仿宋" w:eastAsia="仿宋"/>
          <w:sz w:val="32"/>
          <w:szCs w:val="32"/>
        </w:rPr>
        <w:t>。</w:t>
      </w:r>
      <w:r>
        <w:rPr>
          <w:rFonts w:hint="eastAsia" w:ascii="仿宋" w:hAnsi="仿宋" w:eastAsia="仿宋"/>
          <w:sz w:val="32"/>
          <w:szCs w:val="32"/>
          <w:lang w:eastAsia="zh-CN"/>
        </w:rPr>
        <w:t>项目</w:t>
      </w:r>
      <w:r>
        <w:rPr>
          <w:rFonts w:hint="eastAsia" w:ascii="仿宋" w:hAnsi="仿宋" w:eastAsia="仿宋"/>
          <w:sz w:val="32"/>
          <w:szCs w:val="32"/>
        </w:rPr>
        <w:t>租赁一栋</w:t>
      </w:r>
      <w:r>
        <w:rPr>
          <w:rFonts w:hint="eastAsia" w:ascii="仿宋" w:hAnsi="仿宋" w:eastAsia="仿宋"/>
          <w:sz w:val="32"/>
          <w:szCs w:val="32"/>
          <w:lang w:val="en-US" w:eastAsia="zh-CN"/>
        </w:rPr>
        <w:t>空置</w:t>
      </w:r>
      <w:r>
        <w:rPr>
          <w:rFonts w:hint="eastAsia" w:ascii="仿宋" w:hAnsi="仿宋" w:eastAsia="仿宋"/>
          <w:sz w:val="32"/>
          <w:szCs w:val="32"/>
        </w:rPr>
        <w:t>三层标准化厂房，占地面积约1473m</w:t>
      </w:r>
      <w:r>
        <w:rPr>
          <w:rFonts w:hint="eastAsia" w:ascii="仿宋" w:hAnsi="仿宋" w:eastAsia="仿宋"/>
          <w:sz w:val="32"/>
          <w:szCs w:val="32"/>
          <w:vertAlign w:val="superscript"/>
        </w:rPr>
        <w:t>2</w:t>
      </w:r>
      <w:r>
        <w:rPr>
          <w:rFonts w:hint="eastAsia" w:ascii="仿宋" w:hAnsi="仿宋" w:eastAsia="仿宋"/>
          <w:sz w:val="32"/>
          <w:szCs w:val="32"/>
        </w:rPr>
        <w:t>，建筑面积约4420m</w:t>
      </w:r>
      <w:r>
        <w:rPr>
          <w:rFonts w:hint="eastAsia" w:ascii="仿宋" w:hAnsi="仿宋" w:eastAsia="仿宋"/>
          <w:sz w:val="32"/>
          <w:szCs w:val="32"/>
          <w:vertAlign w:val="superscript"/>
        </w:rPr>
        <w:t>2</w:t>
      </w:r>
      <w:r>
        <w:rPr>
          <w:rFonts w:hint="eastAsia" w:ascii="仿宋" w:hAnsi="仿宋" w:eastAsia="仿宋"/>
          <w:sz w:val="32"/>
          <w:szCs w:val="32"/>
        </w:rPr>
        <w:t>，购置打磨台、喷漆台、烤箱等相关生产设备安装生产车间，并配套建设仓库、办公区、道路、环保等设施。建成后可形成年产120万支碳纤维羽毛球拍（72万支）、碳纤维沙滩拍（24万支）和碳纤维匹克拍（24万支）的生产能力</w:t>
      </w:r>
      <w:r>
        <w:rPr>
          <w:rFonts w:hint="eastAsia" w:ascii="仿宋" w:hAnsi="仿宋" w:eastAsia="仿宋"/>
          <w:sz w:val="32"/>
          <w:szCs w:val="32"/>
          <w:lang w:eastAsia="zh-CN"/>
        </w:rPr>
        <w:t>。</w:t>
      </w:r>
      <w:r>
        <w:rPr>
          <w:rFonts w:hint="eastAsia" w:ascii="仿宋" w:hAnsi="仿宋" w:eastAsia="仿宋"/>
          <w:sz w:val="32"/>
          <w:szCs w:val="32"/>
        </w:rPr>
        <w:t>项目已由砀山经济开发区管理委员会</w:t>
      </w:r>
      <w:r>
        <w:rPr>
          <w:rFonts w:hint="eastAsia" w:ascii="仿宋" w:hAnsi="仿宋" w:eastAsia="仿宋"/>
          <w:sz w:val="32"/>
          <w:szCs w:val="32"/>
          <w:lang w:val="en-US" w:eastAsia="zh-CN"/>
        </w:rPr>
        <w:t>砀开发备案〔2024〕54号</w:t>
      </w:r>
      <w:r>
        <w:rPr>
          <w:rFonts w:hint="eastAsia" w:ascii="仿宋" w:hAnsi="仿宋" w:eastAsia="仿宋"/>
          <w:sz w:val="32"/>
          <w:szCs w:val="32"/>
        </w:rPr>
        <w:t>予以备案从环境保护角度，同意该项目按《报告表》中所列工程性质、规模、内容、地点、工艺流程和配套的污染防治措施等进行建设。</w:t>
      </w:r>
    </w:p>
    <w:p w14:paraId="7A3A709D">
      <w:pPr>
        <w:keepNext w:val="0"/>
        <w:keepLines w:val="0"/>
        <w:pageBreakBefore w:val="0"/>
        <w:kinsoku/>
        <w:wordWrap/>
        <w:overflowPunct/>
        <w:topLinePunct w:val="0"/>
        <w:autoSpaceDE/>
        <w:autoSpaceDN/>
        <w:bidi w:val="0"/>
        <w:spacing w:line="350" w:lineRule="exact"/>
        <w:ind w:firstLine="640" w:firstLineChars="200"/>
        <w:textAlignment w:val="auto"/>
        <w:rPr>
          <w:rFonts w:ascii="仿宋" w:hAnsi="仿宋" w:eastAsia="仿宋"/>
          <w:sz w:val="32"/>
          <w:szCs w:val="32"/>
        </w:rPr>
      </w:pPr>
      <w:r>
        <w:rPr>
          <w:rFonts w:hint="eastAsia" w:ascii="仿宋" w:hAnsi="仿宋" w:eastAsia="仿宋"/>
          <w:sz w:val="32"/>
          <w:szCs w:val="32"/>
        </w:rPr>
        <w:t>二、建设单位必须严格执行环境保护“三同时”制度，认真落实《报告表》提出的各项污染防治措施，确保相关的环境保护设施与主体工程同时设计、同时施工、同时投入使用。</w:t>
      </w:r>
    </w:p>
    <w:p w14:paraId="0108258A">
      <w:pPr>
        <w:keepNext w:val="0"/>
        <w:keepLines w:val="0"/>
        <w:pageBreakBefore w:val="0"/>
        <w:kinsoku/>
        <w:wordWrap/>
        <w:overflowPunct/>
        <w:topLinePunct w:val="0"/>
        <w:autoSpaceDE/>
        <w:autoSpaceDN/>
        <w:bidi w:val="0"/>
        <w:spacing w:line="350" w:lineRule="exact"/>
        <w:ind w:firstLine="640" w:firstLineChars="200"/>
        <w:textAlignment w:val="auto"/>
        <w:rPr>
          <w:rFonts w:ascii="仿宋" w:hAnsi="仿宋" w:eastAsia="仿宋"/>
          <w:sz w:val="32"/>
          <w:szCs w:val="32"/>
        </w:rPr>
      </w:pPr>
      <w:r>
        <w:rPr>
          <w:rFonts w:hint="eastAsia" w:ascii="仿宋" w:hAnsi="仿宋" w:eastAsia="仿宋"/>
          <w:sz w:val="32"/>
          <w:szCs w:val="32"/>
        </w:rPr>
        <w:t>三、项目应重点注意以下几点：</w:t>
      </w:r>
    </w:p>
    <w:p w14:paraId="29F9BF72">
      <w:pPr>
        <w:keepNext w:val="0"/>
        <w:keepLines w:val="0"/>
        <w:pageBreakBefore w:val="0"/>
        <w:kinsoku/>
        <w:wordWrap/>
        <w:overflowPunct/>
        <w:topLinePunct w:val="0"/>
        <w:autoSpaceDE/>
        <w:autoSpaceDN/>
        <w:bidi w:val="0"/>
        <w:spacing w:line="35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1、废水：项目</w:t>
      </w:r>
      <w:r>
        <w:rPr>
          <w:rFonts w:hint="eastAsia" w:ascii="仿宋" w:hAnsi="仿宋" w:eastAsia="仿宋"/>
          <w:sz w:val="32"/>
          <w:szCs w:val="32"/>
          <w:lang w:val="en-US" w:eastAsia="zh-CN"/>
        </w:rPr>
        <w:t>生活污水和保洁废水经化粪池预处理，生产废水经厂区污水处理站（处理工艺：芬顿法+A/O+沉淀）处理，处理后废水一并</w:t>
      </w:r>
      <w:r>
        <w:rPr>
          <w:rFonts w:hint="eastAsia" w:ascii="仿宋" w:hAnsi="仿宋" w:eastAsia="仿宋"/>
          <w:sz w:val="32"/>
          <w:szCs w:val="32"/>
        </w:rPr>
        <w:t>接入市政污水管网排入砀山县经济开发区污水处理厂集中处理。</w:t>
      </w:r>
      <w:r>
        <w:rPr>
          <w:rFonts w:hint="eastAsia" w:ascii="仿宋" w:hAnsi="仿宋" w:eastAsia="仿宋"/>
          <w:sz w:val="32"/>
          <w:szCs w:val="32"/>
          <w:lang w:val="en-US" w:eastAsia="zh-CN"/>
        </w:rPr>
        <w:t>接管废水</w:t>
      </w:r>
      <w:r>
        <w:rPr>
          <w:rFonts w:hint="eastAsia" w:ascii="仿宋" w:hAnsi="仿宋" w:eastAsia="仿宋"/>
          <w:sz w:val="32"/>
          <w:szCs w:val="32"/>
        </w:rPr>
        <w:t>执行污水处理厂接管标准。</w:t>
      </w:r>
    </w:p>
    <w:p w14:paraId="4E4829A5">
      <w:pPr>
        <w:keepNext w:val="0"/>
        <w:keepLines w:val="0"/>
        <w:pageBreakBefore w:val="0"/>
        <w:kinsoku/>
        <w:wordWrap/>
        <w:overflowPunct/>
        <w:topLinePunct w:val="0"/>
        <w:autoSpaceDE/>
        <w:autoSpaceDN/>
        <w:bidi w:val="0"/>
        <w:spacing w:line="35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2、废气：项目</w:t>
      </w:r>
      <w:r>
        <w:rPr>
          <w:rFonts w:hint="eastAsia" w:ascii="仿宋" w:hAnsi="仿宋" w:eastAsia="仿宋"/>
          <w:sz w:val="32"/>
          <w:szCs w:val="32"/>
          <w:lang w:val="en-US" w:eastAsia="zh-CN"/>
        </w:rPr>
        <w:t>球拍喷砂粉尘和钻孔粉尘分别经集气罩收集后经一套脉冲布袋除尘器处理后15m排气筒排放；球拍打磨粉尘收集后经打磨平台配套的水式打磨除尘器处理后15m排气筒排放；球拍热压成型有机废气集气罩收集后经二级活性炭你吸附处理后经15m排气筒排放；底漆、色漆、面漆调漆和喷漆废气及洗枪废气经喷漆房负压收集+水帘柜除尘，球拍补土烘干废气、底漆、色漆、面漆烤漆废气经烤箱负压收集，统一汇入一套喷淋塔+干式过滤器+二级活性炭吸附装置处理后15m排气筒排放。项目运营期颗粒物排放满足《大气污染物综合排放标准》（GB16297-1996）表2标准，非甲烷总烃有组织排放满足《固定源挥发性有机物综合排放标准 第6部分：其他行业》（DB34/4812.6-2024）限值要求，非甲烷总烃厂界无组织排放满足《大气污染物综合排放标准》（GB16297-1996）表2中无组织标准要求，非甲烷总烃厂区内无组织排放参照《固定源挥发性有机物综合排放标准 第6部分：其他行业》（DB34/4812.6-2024）中表4排放限值。球拍喷砂粉尘和钻孔粉尘、打磨粉尘、喷漆漆雾排放满足《大气污染物综合排放标准》（GB16297-1996）中新污染源二级标准要求；热压成型，球拍补土烘干，底漆、色漆、面漆调漆、喷漆和烤漆，洗枪等有机废气满足《固定源挥发性有机物综合排放标准第6部分：其他行业》（DB34/4812.6-2024）限值要求。</w:t>
      </w:r>
    </w:p>
    <w:p w14:paraId="6E592AC0">
      <w:pPr>
        <w:keepNext w:val="0"/>
        <w:keepLines w:val="0"/>
        <w:pageBreakBefore w:val="0"/>
        <w:kinsoku/>
        <w:wordWrap/>
        <w:overflowPunct/>
        <w:topLinePunct w:val="0"/>
        <w:autoSpaceDE/>
        <w:autoSpaceDN/>
        <w:bidi w:val="0"/>
        <w:spacing w:line="35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3、噪声：项目产噪设备采取隔声、消声、减振</w:t>
      </w:r>
      <w:r>
        <w:rPr>
          <w:rFonts w:hint="eastAsia" w:ascii="仿宋" w:hAnsi="仿宋" w:eastAsia="仿宋"/>
          <w:sz w:val="32"/>
          <w:szCs w:val="32"/>
          <w:lang w:val="en-US" w:eastAsia="zh-CN"/>
        </w:rPr>
        <w:t>等措施</w:t>
      </w:r>
      <w:r>
        <w:rPr>
          <w:rFonts w:hint="eastAsia" w:ascii="仿宋" w:hAnsi="仿宋" w:eastAsia="仿宋"/>
          <w:sz w:val="32"/>
          <w:szCs w:val="32"/>
        </w:rPr>
        <w:t>。经处理后的厂界噪声达到《工业企业厂界环境噪声排放标准》（GB12348-2008）中的</w:t>
      </w:r>
      <w:r>
        <w:rPr>
          <w:rFonts w:hint="eastAsia" w:ascii="仿宋" w:hAnsi="仿宋" w:eastAsia="仿宋"/>
          <w:sz w:val="32"/>
          <w:szCs w:val="32"/>
          <w:lang w:val="en-US" w:eastAsia="zh-CN"/>
        </w:rPr>
        <w:t>3</w:t>
      </w:r>
      <w:r>
        <w:rPr>
          <w:rFonts w:hint="eastAsia" w:ascii="仿宋" w:hAnsi="仿宋" w:eastAsia="仿宋"/>
          <w:sz w:val="32"/>
          <w:szCs w:val="32"/>
        </w:rPr>
        <w:t>类标准。</w:t>
      </w:r>
    </w:p>
    <w:p w14:paraId="1CB9929D">
      <w:pPr>
        <w:keepNext w:val="0"/>
        <w:keepLines w:val="0"/>
        <w:pageBreakBefore w:val="0"/>
        <w:kinsoku/>
        <w:wordWrap/>
        <w:overflowPunct/>
        <w:topLinePunct w:val="0"/>
        <w:autoSpaceDE/>
        <w:autoSpaceDN/>
        <w:bidi w:val="0"/>
        <w:spacing w:line="35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4、固废：生活垃圾</w:t>
      </w:r>
      <w:r>
        <w:rPr>
          <w:rFonts w:hint="eastAsia" w:ascii="仿宋" w:hAnsi="仿宋" w:eastAsia="仿宋"/>
          <w:sz w:val="32"/>
          <w:szCs w:val="32"/>
          <w:lang w:val="en-US" w:eastAsia="zh-CN"/>
        </w:rPr>
        <w:t>和水式打磨除尘器沉渣收集后</w:t>
      </w:r>
      <w:r>
        <w:rPr>
          <w:rFonts w:hint="eastAsia" w:ascii="仿宋" w:hAnsi="仿宋" w:eastAsia="仿宋"/>
          <w:sz w:val="32"/>
          <w:szCs w:val="32"/>
        </w:rPr>
        <w:t>由环卫部门统一清运；</w:t>
      </w:r>
      <w:r>
        <w:rPr>
          <w:rFonts w:hint="eastAsia" w:ascii="仿宋" w:hAnsi="仿宋" w:eastAsia="仿宋"/>
          <w:sz w:val="32"/>
          <w:szCs w:val="32"/>
          <w:lang w:val="en-US" w:eastAsia="zh-CN"/>
        </w:rPr>
        <w:t>废包装材料、废边角料、除尘器收集粉尘分类收集后</w:t>
      </w:r>
      <w:r>
        <w:rPr>
          <w:rFonts w:hint="eastAsia" w:ascii="仿宋" w:hAnsi="仿宋" w:eastAsia="仿宋"/>
          <w:sz w:val="32"/>
          <w:szCs w:val="32"/>
        </w:rPr>
        <w:t>外售</w:t>
      </w:r>
      <w:r>
        <w:rPr>
          <w:rFonts w:hint="eastAsia" w:ascii="仿宋" w:hAnsi="仿宋" w:eastAsia="仿宋"/>
          <w:sz w:val="32"/>
          <w:szCs w:val="32"/>
          <w:lang w:val="en-US" w:eastAsia="zh-CN"/>
        </w:rPr>
        <w:t>综合利用</w:t>
      </w:r>
      <w:r>
        <w:rPr>
          <w:rFonts w:hint="eastAsia" w:ascii="仿宋" w:hAnsi="仿宋" w:eastAsia="仿宋"/>
          <w:sz w:val="32"/>
          <w:szCs w:val="32"/>
        </w:rPr>
        <w:t>；废活性碳、</w:t>
      </w:r>
      <w:r>
        <w:rPr>
          <w:rFonts w:hint="eastAsia" w:ascii="仿宋" w:hAnsi="仿宋" w:eastAsia="仿宋"/>
          <w:sz w:val="32"/>
          <w:szCs w:val="32"/>
          <w:lang w:val="en-US" w:eastAsia="zh-CN"/>
        </w:rPr>
        <w:t>污水处理站污泥、漆渣、废原料（油漆）桶、废润滑油和润滑油桶、废抹布及劳保手套等分类收集暂存危险废物暂存间并委托</w:t>
      </w:r>
      <w:r>
        <w:rPr>
          <w:rFonts w:hint="eastAsia" w:ascii="仿宋" w:hAnsi="仿宋" w:eastAsia="仿宋"/>
          <w:sz w:val="32"/>
          <w:szCs w:val="32"/>
        </w:rPr>
        <w:t>有资质单位</w:t>
      </w:r>
      <w:r>
        <w:rPr>
          <w:rFonts w:hint="eastAsia" w:ascii="仿宋" w:hAnsi="仿宋" w:eastAsia="仿宋"/>
          <w:sz w:val="32"/>
          <w:szCs w:val="32"/>
          <w:lang w:val="en-US" w:eastAsia="zh-CN"/>
        </w:rPr>
        <w:t>处置</w:t>
      </w:r>
      <w:r>
        <w:rPr>
          <w:rFonts w:hint="eastAsia" w:ascii="仿宋" w:hAnsi="仿宋" w:eastAsia="仿宋"/>
          <w:sz w:val="32"/>
          <w:szCs w:val="32"/>
          <w:lang w:eastAsia="zh-CN"/>
        </w:rPr>
        <w:t>，</w:t>
      </w:r>
      <w:r>
        <w:rPr>
          <w:rFonts w:hint="eastAsia" w:ascii="仿宋" w:hAnsi="仿宋" w:eastAsia="仿宋"/>
          <w:sz w:val="32"/>
          <w:szCs w:val="32"/>
        </w:rPr>
        <w:t>本项目各固废均有效处理。</w:t>
      </w:r>
    </w:p>
    <w:p w14:paraId="11DCB7F8">
      <w:pPr>
        <w:keepNext w:val="0"/>
        <w:keepLines w:val="0"/>
        <w:pageBreakBefore w:val="0"/>
        <w:kinsoku/>
        <w:wordWrap/>
        <w:overflowPunct/>
        <w:topLinePunct w:val="0"/>
        <w:autoSpaceDE/>
        <w:autoSpaceDN/>
        <w:bidi w:val="0"/>
        <w:spacing w:line="35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5、土壤及地下水污染防治措施：①重点防渗区：危险废物暂存间、污水处理站、化学品库为重点防渗区</w:t>
      </w:r>
      <w:r>
        <w:rPr>
          <w:rFonts w:hint="eastAsia" w:ascii="仿宋" w:hAnsi="仿宋" w:eastAsia="仿宋"/>
          <w:sz w:val="32"/>
          <w:szCs w:val="32"/>
          <w:lang w:eastAsia="zh-CN"/>
        </w:rPr>
        <w:t>，</w:t>
      </w:r>
      <w:r>
        <w:rPr>
          <w:rFonts w:hint="eastAsia" w:ascii="仿宋" w:hAnsi="仿宋" w:eastAsia="仿宋"/>
          <w:sz w:val="32"/>
          <w:szCs w:val="32"/>
          <w:lang w:val="en-US" w:eastAsia="zh-CN"/>
        </w:rPr>
        <w:t>项目租赁厂房均做好基础防渗，本次需在此基础上</w:t>
      </w:r>
      <w:r>
        <w:rPr>
          <w:rFonts w:hint="eastAsia" w:ascii="仿宋" w:hAnsi="仿宋" w:eastAsia="仿宋"/>
          <w:sz w:val="32"/>
          <w:szCs w:val="32"/>
          <w:lang w:eastAsia="zh-CN"/>
        </w:rPr>
        <w:t>至少</w:t>
      </w:r>
      <w:r>
        <w:rPr>
          <w:rFonts w:hint="eastAsia" w:ascii="仿宋" w:hAnsi="仿宋" w:eastAsia="仿宋"/>
          <w:sz w:val="32"/>
          <w:szCs w:val="32"/>
          <w:lang w:val="en-US" w:eastAsia="zh-CN"/>
        </w:rPr>
        <w:t>增加</w:t>
      </w:r>
      <w:r>
        <w:rPr>
          <w:rFonts w:hint="eastAsia" w:ascii="仿宋" w:hAnsi="仿宋" w:eastAsia="仿宋"/>
          <w:sz w:val="32"/>
          <w:szCs w:val="32"/>
        </w:rPr>
        <w:t>2mm厚高密度聚乙烯膜等人工防渗材料（渗透系数不大于10</w:t>
      </w:r>
      <w:r>
        <w:rPr>
          <w:rFonts w:hint="eastAsia" w:ascii="仿宋" w:hAnsi="仿宋" w:eastAsia="仿宋"/>
          <w:sz w:val="32"/>
          <w:szCs w:val="32"/>
          <w:vertAlign w:val="superscript"/>
        </w:rPr>
        <w:t>-10</w:t>
      </w:r>
      <w:r>
        <w:rPr>
          <w:rFonts w:hint="eastAsia" w:ascii="仿宋" w:hAnsi="仿宋" w:eastAsia="仿宋"/>
          <w:sz w:val="32"/>
          <w:szCs w:val="32"/>
        </w:rPr>
        <w:t>cm/s），或其他防渗性能等效的材料。②一般防渗区：化粪池、车间内其他区域等效黏土防渗层厚度不小于1.5m，渗透系数≤1.0×10</w:t>
      </w:r>
      <w:r>
        <w:rPr>
          <w:rFonts w:hint="eastAsia" w:ascii="仿宋" w:hAnsi="仿宋" w:eastAsia="仿宋"/>
          <w:sz w:val="32"/>
          <w:szCs w:val="32"/>
          <w:vertAlign w:val="superscript"/>
        </w:rPr>
        <w:t>-7</w:t>
      </w:r>
      <w:r>
        <w:rPr>
          <w:rFonts w:hint="eastAsia" w:ascii="仿宋" w:hAnsi="仿宋" w:eastAsia="仿宋"/>
          <w:sz w:val="32"/>
          <w:szCs w:val="32"/>
        </w:rPr>
        <w:t>cm/s。③简单防渗区：除重点防渗区、一般防渗区外的区域，采取一般地面硬化进行简单防渗。</w:t>
      </w:r>
    </w:p>
    <w:p w14:paraId="3C11DDD0">
      <w:pPr>
        <w:keepNext w:val="0"/>
        <w:keepLines w:val="0"/>
        <w:pageBreakBefore w:val="0"/>
        <w:kinsoku/>
        <w:wordWrap/>
        <w:overflowPunct/>
        <w:topLinePunct w:val="0"/>
        <w:autoSpaceDE/>
        <w:autoSpaceDN/>
        <w:bidi w:val="0"/>
        <w:spacing w:line="350" w:lineRule="exact"/>
        <w:ind w:firstLine="640" w:firstLineChars="200"/>
        <w:textAlignment w:val="auto"/>
        <w:rPr>
          <w:rFonts w:ascii="仿宋" w:hAnsi="仿宋" w:eastAsia="仿宋"/>
          <w:sz w:val="32"/>
          <w:szCs w:val="32"/>
        </w:rPr>
      </w:pPr>
      <w:r>
        <w:rPr>
          <w:rFonts w:hint="eastAsia" w:ascii="仿宋" w:hAnsi="仿宋" w:eastAsia="仿宋"/>
          <w:sz w:val="32"/>
          <w:szCs w:val="32"/>
        </w:rPr>
        <w:t>四、项目竣工后，按规定开展竣工环境保护验收，验收合格后，项目方可正式投入运行。</w:t>
      </w:r>
    </w:p>
    <w:p w14:paraId="26786870">
      <w:pPr>
        <w:keepNext w:val="0"/>
        <w:keepLines w:val="0"/>
        <w:pageBreakBefore w:val="0"/>
        <w:kinsoku/>
        <w:wordWrap/>
        <w:overflowPunct/>
        <w:topLinePunct w:val="0"/>
        <w:autoSpaceDE/>
        <w:autoSpaceDN/>
        <w:bidi w:val="0"/>
        <w:adjustRightInd w:val="0"/>
        <w:snapToGrid w:val="0"/>
        <w:spacing w:line="350" w:lineRule="exact"/>
        <w:ind w:firstLine="640" w:firstLineChars="200"/>
        <w:textAlignment w:val="auto"/>
        <w:rPr>
          <w:rFonts w:ascii="仿宋" w:hAnsi="仿宋" w:eastAsia="仿宋"/>
          <w:sz w:val="32"/>
          <w:szCs w:val="32"/>
        </w:rPr>
      </w:pPr>
      <w:r>
        <w:rPr>
          <w:rFonts w:hint="eastAsia" w:ascii="仿宋" w:hAnsi="仿宋" w:eastAsia="仿宋"/>
          <w:sz w:val="32"/>
          <w:szCs w:val="32"/>
        </w:rPr>
        <w:t xml:space="preserve">五、若建设过程中项目的性质、规模、内容、地点、采用的工艺或者防治污染、防止生态破坏的措施发生重大变动的，应重新报批环境影响评价文件。自本批准之日起超过五年，方决定该项目开工建设的，其环境影响评价文件应当报我局重新审核。法律法规有规定的，从其规定。相关执行标准出台或修改，按新标准执行。  </w:t>
      </w:r>
    </w:p>
    <w:p w14:paraId="222A1C98">
      <w:pPr>
        <w:keepNext w:val="0"/>
        <w:keepLines w:val="0"/>
        <w:pageBreakBefore w:val="0"/>
        <w:kinsoku/>
        <w:wordWrap/>
        <w:overflowPunct/>
        <w:topLinePunct w:val="0"/>
        <w:autoSpaceDE/>
        <w:autoSpaceDN/>
        <w:bidi w:val="0"/>
        <w:spacing w:line="350" w:lineRule="exact"/>
        <w:ind w:firstLine="640" w:firstLineChars="200"/>
        <w:textAlignment w:val="auto"/>
        <w:rPr>
          <w:rFonts w:ascii="仿宋" w:hAnsi="仿宋" w:eastAsia="仿宋"/>
          <w:sz w:val="32"/>
          <w:szCs w:val="32"/>
        </w:rPr>
      </w:pPr>
      <w:r>
        <w:rPr>
          <w:rFonts w:hint="eastAsia" w:ascii="仿宋" w:hAnsi="仿宋" w:eastAsia="仿宋"/>
          <w:sz w:val="32"/>
          <w:szCs w:val="32"/>
        </w:rPr>
        <w:t>六、所在辖区</w:t>
      </w:r>
      <w:r>
        <w:rPr>
          <w:rFonts w:hint="eastAsia" w:ascii="仿宋" w:hAnsi="仿宋" w:eastAsia="仿宋"/>
          <w:sz w:val="32"/>
          <w:szCs w:val="32"/>
          <w:lang w:eastAsia="zh-CN"/>
        </w:rPr>
        <w:t>行政执法</w:t>
      </w:r>
      <w:r>
        <w:rPr>
          <w:rFonts w:hint="eastAsia" w:ascii="仿宋" w:hAnsi="仿宋" w:eastAsia="仿宋"/>
          <w:sz w:val="32"/>
          <w:szCs w:val="32"/>
        </w:rPr>
        <w:t>中队负责</w:t>
      </w:r>
      <w:bookmarkStart w:id="0" w:name="OLE_LINK1"/>
      <w:r>
        <w:rPr>
          <w:rFonts w:hint="eastAsia" w:ascii="仿宋" w:hAnsi="仿宋" w:eastAsia="仿宋"/>
          <w:sz w:val="32"/>
          <w:szCs w:val="32"/>
        </w:rPr>
        <w:t>该项目“三同时”日常监管工作，并将监管过程中出现的重大情况及时报县生态环境</w:t>
      </w:r>
      <w:r>
        <w:rPr>
          <w:rFonts w:ascii="仿宋" w:hAnsi="仿宋" w:eastAsia="仿宋"/>
          <w:sz w:val="32"/>
          <w:szCs w:val="32"/>
        </w:rPr>
        <w:t>分</w:t>
      </w:r>
      <w:r>
        <w:rPr>
          <w:rFonts w:hint="eastAsia" w:ascii="仿宋" w:hAnsi="仿宋" w:eastAsia="仿宋"/>
          <w:sz w:val="32"/>
          <w:szCs w:val="32"/>
        </w:rPr>
        <w:t>局</w:t>
      </w:r>
      <w:bookmarkEnd w:id="0"/>
      <w:r>
        <w:rPr>
          <w:rFonts w:hint="eastAsia" w:ascii="仿宋" w:hAnsi="仿宋" w:eastAsia="仿宋"/>
          <w:sz w:val="32"/>
          <w:szCs w:val="32"/>
        </w:rPr>
        <w:t>。</w:t>
      </w:r>
    </w:p>
    <w:p w14:paraId="767C0B6A">
      <w:pPr>
        <w:keepNext w:val="0"/>
        <w:keepLines w:val="0"/>
        <w:pageBreakBefore w:val="0"/>
        <w:kinsoku/>
        <w:wordWrap/>
        <w:overflowPunct/>
        <w:topLinePunct w:val="0"/>
        <w:autoSpaceDE/>
        <w:autoSpaceDN/>
        <w:bidi w:val="0"/>
        <w:spacing w:line="350" w:lineRule="exact"/>
        <w:ind w:firstLine="640" w:firstLineChars="200"/>
        <w:textAlignment w:val="auto"/>
        <w:rPr>
          <w:rFonts w:ascii="仿宋" w:hAnsi="仿宋" w:eastAsia="仿宋"/>
          <w:sz w:val="32"/>
          <w:szCs w:val="32"/>
        </w:rPr>
      </w:pPr>
    </w:p>
    <w:p w14:paraId="1092CE19">
      <w:pPr>
        <w:spacing w:line="460" w:lineRule="exact"/>
        <w:ind w:firstLine="640" w:firstLineChars="200"/>
        <w:jc w:val="right"/>
        <w:rPr>
          <w:rFonts w:ascii="仿宋" w:hAnsi="仿宋" w:eastAsia="仿宋"/>
          <w:sz w:val="32"/>
          <w:szCs w:val="32"/>
        </w:rPr>
      </w:pPr>
    </w:p>
    <w:p w14:paraId="5484C1FA">
      <w:pPr>
        <w:spacing w:line="460" w:lineRule="exact"/>
        <w:ind w:right="320"/>
        <w:jc w:val="right"/>
        <w:rPr>
          <w:rFonts w:ascii="仿宋" w:hAnsi="仿宋" w:eastAsia="仿宋"/>
          <w:sz w:val="32"/>
          <w:szCs w:val="32"/>
        </w:rPr>
      </w:pPr>
    </w:p>
    <w:p w14:paraId="0C56A303">
      <w:pPr>
        <w:spacing w:line="460" w:lineRule="exact"/>
        <w:ind w:right="320"/>
        <w:jc w:val="right"/>
        <w:rPr>
          <w:rFonts w:ascii="仿宋" w:hAnsi="仿宋" w:eastAsia="仿宋"/>
          <w:sz w:val="32"/>
          <w:szCs w:val="32"/>
        </w:rPr>
      </w:pPr>
      <w:r>
        <w:rPr>
          <w:rFonts w:hint="eastAsia" w:ascii="仿宋" w:hAnsi="仿宋" w:eastAsia="仿宋"/>
          <w:sz w:val="32"/>
          <w:szCs w:val="32"/>
        </w:rPr>
        <w:t xml:space="preserve"> </w:t>
      </w:r>
    </w:p>
    <w:p w14:paraId="63F26112">
      <w:pPr>
        <w:spacing w:line="460" w:lineRule="exact"/>
        <w:ind w:right="320"/>
        <w:jc w:val="right"/>
        <w:rPr>
          <w:rFonts w:ascii="仿宋" w:hAnsi="仿宋" w:eastAsia="仿宋"/>
          <w:sz w:val="32"/>
          <w:szCs w:val="32"/>
        </w:rPr>
      </w:pPr>
      <w:r>
        <w:rPr>
          <w:rFonts w:hint="eastAsia" w:ascii="仿宋" w:hAnsi="仿宋" w:eastAsia="仿宋"/>
          <w:sz w:val="32"/>
          <w:szCs w:val="32"/>
        </w:rPr>
        <w:t xml:space="preserve">宿州市砀山县生态环境分局                      </w:t>
      </w:r>
    </w:p>
    <w:p w14:paraId="445D09BA">
      <w:pPr>
        <w:spacing w:line="460" w:lineRule="exact"/>
        <w:ind w:right="800"/>
        <w:jc w:val="right"/>
        <w:rPr>
          <w:rFonts w:ascii="仿宋" w:hAnsi="仿宋" w:eastAsia="仿宋"/>
          <w:sz w:val="32"/>
          <w:szCs w:val="32"/>
        </w:rPr>
      </w:pPr>
      <w:r>
        <w:rPr>
          <w:rFonts w:hint="eastAsia" w:ascii="仿宋" w:hAnsi="仿宋" w:eastAsia="仿宋"/>
          <w:sz w:val="32"/>
          <w:szCs w:val="32"/>
        </w:rPr>
        <w:t>20</w:t>
      </w:r>
      <w:r>
        <w:rPr>
          <w:rFonts w:ascii="仿宋" w:hAnsi="仿宋" w:eastAsia="仿宋"/>
          <w:sz w:val="32"/>
          <w:szCs w:val="32"/>
        </w:rPr>
        <w:t>25</w:t>
      </w:r>
      <w:r>
        <w:rPr>
          <w:rFonts w:hint="eastAsia" w:ascii="仿宋" w:hAnsi="仿宋" w:eastAsia="仿宋"/>
          <w:sz w:val="32"/>
          <w:szCs w:val="32"/>
        </w:rPr>
        <w:t>年</w:t>
      </w:r>
      <w:r>
        <w:rPr>
          <w:rFonts w:hint="eastAsia" w:ascii="仿宋" w:hAnsi="仿宋" w:eastAsia="仿宋"/>
          <w:sz w:val="32"/>
          <w:szCs w:val="32"/>
          <w:lang w:val="en-US" w:eastAsia="zh-CN"/>
        </w:rPr>
        <w:t>8</w:t>
      </w:r>
      <w:r>
        <w:rPr>
          <w:rFonts w:hint="eastAsia" w:ascii="仿宋" w:hAnsi="仿宋" w:eastAsia="仿宋"/>
          <w:sz w:val="32"/>
          <w:szCs w:val="32"/>
        </w:rPr>
        <w:t>月</w:t>
      </w:r>
      <w:r>
        <w:rPr>
          <w:rFonts w:hint="eastAsia" w:ascii="仿宋" w:hAnsi="仿宋" w:eastAsia="仿宋"/>
          <w:sz w:val="32"/>
          <w:szCs w:val="32"/>
          <w:lang w:val="en-US" w:eastAsia="zh-CN"/>
        </w:rPr>
        <w:t>4</w:t>
      </w:r>
      <w:r>
        <w:rPr>
          <w:rFonts w:hint="eastAsia" w:ascii="仿宋" w:hAnsi="仿宋" w:eastAsia="仿宋"/>
          <w:sz w:val="32"/>
          <w:szCs w:val="32"/>
        </w:rPr>
        <w:t>日</w:t>
      </w:r>
    </w:p>
    <w:p w14:paraId="02625DFC">
      <w:pPr>
        <w:adjustRightInd w:val="0"/>
        <w:snapToGrid w:val="0"/>
        <w:spacing w:line="360" w:lineRule="auto"/>
        <w:jc w:val="left"/>
        <w:rPr>
          <w:rFonts w:ascii="仿宋_GB2312" w:hAnsi="仿宋_GB2312" w:eastAsia="仿宋_GB2312"/>
          <w:sz w:val="32"/>
          <w:u w:val="thick"/>
        </w:rPr>
      </w:pPr>
    </w:p>
    <w:p w14:paraId="0C8BEAA8">
      <w:pPr>
        <w:pStyle w:val="5"/>
      </w:pPr>
    </w:p>
    <w:p w14:paraId="4A030182">
      <w:pPr>
        <w:adjustRightInd w:val="0"/>
        <w:snapToGrid w:val="0"/>
        <w:spacing w:line="360" w:lineRule="auto"/>
        <w:jc w:val="left"/>
      </w:pPr>
    </w:p>
    <w:p w14:paraId="5FD37F3F">
      <w:pPr>
        <w:adjustRightInd w:val="0"/>
        <w:snapToGrid w:val="0"/>
        <w:spacing w:line="360" w:lineRule="auto"/>
        <w:jc w:val="left"/>
        <w:rPr>
          <w:rFonts w:ascii="仿宋_GB2312" w:hAnsi="仿宋_GB2312" w:eastAsia="仿宋_GB2312"/>
          <w:sz w:val="32"/>
          <w:u w:val="thick"/>
        </w:rPr>
      </w:pPr>
    </w:p>
    <w:p w14:paraId="251D23F1">
      <w:pPr>
        <w:adjustRightInd w:val="0"/>
        <w:snapToGrid w:val="0"/>
        <w:spacing w:line="360" w:lineRule="auto"/>
        <w:jc w:val="left"/>
        <w:rPr>
          <w:rFonts w:ascii="仿宋_GB2312" w:hAnsi="仿宋_GB2312" w:eastAsia="仿宋_GB2312"/>
          <w:sz w:val="32"/>
          <w:u w:val="thick"/>
        </w:rPr>
      </w:pPr>
    </w:p>
    <w:p w14:paraId="49AE1EB8">
      <w:pPr>
        <w:adjustRightInd w:val="0"/>
        <w:snapToGrid w:val="0"/>
        <w:spacing w:line="360" w:lineRule="auto"/>
        <w:jc w:val="left"/>
        <w:rPr>
          <w:rFonts w:ascii="仿宋_GB2312" w:hAnsi="仿宋_GB2312" w:eastAsia="仿宋_GB2312"/>
          <w:sz w:val="32"/>
          <w:u w:val="thick"/>
        </w:rPr>
      </w:pPr>
    </w:p>
    <w:p w14:paraId="3F2D9321">
      <w:pPr>
        <w:adjustRightInd w:val="0"/>
        <w:snapToGrid w:val="0"/>
        <w:spacing w:line="360" w:lineRule="auto"/>
        <w:jc w:val="left"/>
        <w:rPr>
          <w:rFonts w:ascii="仿宋_GB2312" w:hAnsi="仿宋_GB2312" w:eastAsia="仿宋_GB2312"/>
          <w:sz w:val="32"/>
          <w:u w:val="thick"/>
        </w:rPr>
      </w:pPr>
      <w:bookmarkStart w:id="1" w:name="_GoBack"/>
      <w:bookmarkEnd w:id="1"/>
      <w:r>
        <w:rPr>
          <w:rFonts w:ascii="仿宋_GB2312" w:hAnsi="仿宋_GB2312" w:eastAsia="仿宋_GB2312"/>
          <w:sz w:val="32"/>
          <w:u w:val="thick"/>
        </w:rPr>
        <w:t xml:space="preserve">                                                      </w:t>
      </w:r>
    </w:p>
    <w:p w14:paraId="0468334C">
      <w:pPr>
        <w:adjustRightInd w:val="0"/>
        <w:snapToGrid w:val="0"/>
        <w:spacing w:line="360" w:lineRule="auto"/>
        <w:jc w:val="left"/>
        <w:rPr>
          <w:rFonts w:ascii="仿宋" w:hAnsi="仿宋" w:eastAsia="仿宋" w:cs="仿宋"/>
          <w:bCs/>
          <w:sz w:val="30"/>
          <w:szCs w:val="30"/>
          <w:u w:val="single"/>
        </w:rPr>
      </w:pPr>
      <w:r>
        <w:rPr>
          <w:rFonts w:hint="eastAsia" w:ascii="仿宋" w:hAnsi="仿宋" w:eastAsia="仿宋" w:cs="仿宋"/>
          <w:bCs/>
          <w:sz w:val="30"/>
          <w:szCs w:val="30"/>
          <w:u w:val="single"/>
        </w:rPr>
        <w:t>抄：县</w:t>
      </w:r>
      <w:r>
        <w:rPr>
          <w:rFonts w:hint="eastAsia" w:ascii="仿宋" w:hAnsi="仿宋" w:eastAsia="仿宋"/>
          <w:sz w:val="32"/>
          <w:szCs w:val="32"/>
          <w:u w:val="single"/>
        </w:rPr>
        <w:t>生态环境</w:t>
      </w:r>
      <w:r>
        <w:rPr>
          <w:rFonts w:hint="eastAsia" w:ascii="仿宋" w:hAnsi="仿宋" w:eastAsia="仿宋"/>
          <w:sz w:val="32"/>
          <w:szCs w:val="32"/>
          <w:u w:val="single"/>
          <w:lang w:eastAsia="zh-CN"/>
        </w:rPr>
        <w:t>行政执法</w:t>
      </w:r>
      <w:r>
        <w:rPr>
          <w:rFonts w:hint="eastAsia" w:ascii="仿宋" w:hAnsi="仿宋" w:eastAsia="仿宋" w:cs="仿宋"/>
          <w:bCs/>
          <w:sz w:val="30"/>
          <w:szCs w:val="30"/>
          <w:u w:val="single"/>
        </w:rPr>
        <w:t>大队，</w:t>
      </w:r>
      <w:r>
        <w:rPr>
          <w:rFonts w:hint="eastAsia" w:ascii="仿宋" w:hAnsi="仿宋" w:eastAsia="仿宋" w:cs="仿宋"/>
          <w:bCs/>
          <w:sz w:val="30"/>
          <w:szCs w:val="30"/>
          <w:u w:val="single"/>
          <w:lang w:val="en-US" w:eastAsia="zh-CN"/>
        </w:rPr>
        <w:t>安徽全方环境科技有限公司</w:t>
      </w:r>
      <w:r>
        <w:rPr>
          <w:rFonts w:hint="eastAsia" w:ascii="仿宋" w:hAnsi="仿宋" w:eastAsia="仿宋" w:cs="仿宋"/>
          <w:bCs/>
          <w:sz w:val="30"/>
          <w:szCs w:val="30"/>
          <w:u w:val="single"/>
        </w:rPr>
        <w:t xml:space="preserve">。                                                                                 </w:t>
      </w:r>
      <w:r>
        <w:rPr>
          <w:rFonts w:hint="eastAsia" w:ascii="仿宋_GB2312" w:hAnsi="华文仿宋" w:eastAsia="仿宋_GB2312"/>
          <w:sz w:val="30"/>
          <w:szCs w:val="30"/>
          <w:u w:val="thick"/>
        </w:rPr>
        <w:t xml:space="preserve"> 宿州市砀山县生态环境分局办公室 　 20</w:t>
      </w:r>
      <w:r>
        <w:rPr>
          <w:rFonts w:ascii="仿宋_GB2312" w:hAnsi="华文仿宋" w:eastAsia="仿宋_GB2312"/>
          <w:sz w:val="30"/>
          <w:szCs w:val="30"/>
          <w:u w:val="thick"/>
        </w:rPr>
        <w:t>25</w:t>
      </w:r>
      <w:r>
        <w:rPr>
          <w:rFonts w:hint="eastAsia" w:ascii="仿宋_GB2312" w:hAnsi="华文仿宋" w:eastAsia="仿宋_GB2312"/>
          <w:sz w:val="30"/>
          <w:szCs w:val="30"/>
          <w:u w:val="thick"/>
        </w:rPr>
        <w:t>年</w:t>
      </w:r>
      <w:r>
        <w:rPr>
          <w:rFonts w:hint="eastAsia" w:ascii="仿宋_GB2312" w:hAnsi="华文仿宋" w:eastAsia="仿宋_GB2312"/>
          <w:sz w:val="30"/>
          <w:szCs w:val="30"/>
          <w:u w:val="thick"/>
          <w:lang w:val="en-US" w:eastAsia="zh-CN"/>
        </w:rPr>
        <w:t>8</w:t>
      </w:r>
      <w:r>
        <w:rPr>
          <w:rFonts w:hint="eastAsia" w:ascii="仿宋_GB2312" w:hAnsi="华文仿宋" w:eastAsia="仿宋_GB2312"/>
          <w:sz w:val="30"/>
          <w:szCs w:val="30"/>
          <w:u w:val="thick"/>
        </w:rPr>
        <w:t>月</w:t>
      </w:r>
      <w:r>
        <w:rPr>
          <w:rFonts w:hint="eastAsia" w:ascii="仿宋_GB2312" w:hAnsi="华文仿宋" w:eastAsia="仿宋_GB2312"/>
          <w:sz w:val="30"/>
          <w:szCs w:val="30"/>
          <w:u w:val="thick"/>
          <w:lang w:val="en-US" w:eastAsia="zh-CN"/>
        </w:rPr>
        <w:t>4</w:t>
      </w:r>
      <w:r>
        <w:rPr>
          <w:rFonts w:hint="eastAsia" w:ascii="仿宋_GB2312" w:hAnsi="华文仿宋" w:eastAsia="仿宋_GB2312"/>
          <w:sz w:val="30"/>
          <w:szCs w:val="30"/>
          <w:u w:val="thick"/>
        </w:rPr>
        <w:t xml:space="preserve">日印发     </w:t>
      </w: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宋体"/>
    <w:panose1 w:val="00000000000000000000"/>
    <w:charset w:val="86"/>
    <w:family w:val="roman"/>
    <w:pitch w:val="default"/>
    <w:sig w:usb0="00000000" w:usb1="00000000" w:usb2="00000000" w:usb3="00000000" w:csb0="0000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80F3C52" w:usb2="00000016" w:usb3="00000000" w:csb0="0004001F" w:csb1="00000000"/>
  </w:font>
  <w:font w:name="方正小标宋简体">
    <w:altName w:val="黑体"/>
    <w:panose1 w:val="00000000000000000000"/>
    <w:charset w:val="86"/>
    <w:family w:val="script"/>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D880C59"/>
    <w:rsid w:val="00004565"/>
    <w:rsid w:val="00012E49"/>
    <w:rsid w:val="00020CD3"/>
    <w:rsid w:val="0002468F"/>
    <w:rsid w:val="00030A7F"/>
    <w:rsid w:val="00032B2D"/>
    <w:rsid w:val="00035093"/>
    <w:rsid w:val="00037923"/>
    <w:rsid w:val="00040A6F"/>
    <w:rsid w:val="00040D81"/>
    <w:rsid w:val="00042933"/>
    <w:rsid w:val="00053DB4"/>
    <w:rsid w:val="00057501"/>
    <w:rsid w:val="00061ED8"/>
    <w:rsid w:val="0006297E"/>
    <w:rsid w:val="00073535"/>
    <w:rsid w:val="00073DB6"/>
    <w:rsid w:val="000746BA"/>
    <w:rsid w:val="00076D22"/>
    <w:rsid w:val="000831C8"/>
    <w:rsid w:val="00087441"/>
    <w:rsid w:val="00090711"/>
    <w:rsid w:val="00091D82"/>
    <w:rsid w:val="0009259F"/>
    <w:rsid w:val="000A25F1"/>
    <w:rsid w:val="000A3E0D"/>
    <w:rsid w:val="000A53BC"/>
    <w:rsid w:val="000B60B2"/>
    <w:rsid w:val="000C1935"/>
    <w:rsid w:val="000C1DBA"/>
    <w:rsid w:val="000C6C56"/>
    <w:rsid w:val="000C780F"/>
    <w:rsid w:val="000C7FCE"/>
    <w:rsid w:val="000D07A0"/>
    <w:rsid w:val="000D1320"/>
    <w:rsid w:val="000D5E2B"/>
    <w:rsid w:val="000D5E5A"/>
    <w:rsid w:val="000D69D0"/>
    <w:rsid w:val="000E00D7"/>
    <w:rsid w:val="000E0B55"/>
    <w:rsid w:val="000E35F6"/>
    <w:rsid w:val="000E3789"/>
    <w:rsid w:val="000E37A6"/>
    <w:rsid w:val="000E43C3"/>
    <w:rsid w:val="000F3C21"/>
    <w:rsid w:val="000F4484"/>
    <w:rsid w:val="001044DD"/>
    <w:rsid w:val="00105D54"/>
    <w:rsid w:val="00112BB3"/>
    <w:rsid w:val="00114CF6"/>
    <w:rsid w:val="00116161"/>
    <w:rsid w:val="00117E8B"/>
    <w:rsid w:val="00121467"/>
    <w:rsid w:val="00121D61"/>
    <w:rsid w:val="00123D31"/>
    <w:rsid w:val="001252C9"/>
    <w:rsid w:val="001258B3"/>
    <w:rsid w:val="001275A8"/>
    <w:rsid w:val="00130563"/>
    <w:rsid w:val="0013608B"/>
    <w:rsid w:val="001405F5"/>
    <w:rsid w:val="00143D2A"/>
    <w:rsid w:val="0014474D"/>
    <w:rsid w:val="00145483"/>
    <w:rsid w:val="00146165"/>
    <w:rsid w:val="0015307B"/>
    <w:rsid w:val="0015445A"/>
    <w:rsid w:val="00156794"/>
    <w:rsid w:val="001572FE"/>
    <w:rsid w:val="00161358"/>
    <w:rsid w:val="00163240"/>
    <w:rsid w:val="001643CA"/>
    <w:rsid w:val="00173D46"/>
    <w:rsid w:val="00176DB3"/>
    <w:rsid w:val="00180BF0"/>
    <w:rsid w:val="00195409"/>
    <w:rsid w:val="00195E06"/>
    <w:rsid w:val="001A0A85"/>
    <w:rsid w:val="001A5858"/>
    <w:rsid w:val="001B1294"/>
    <w:rsid w:val="001B4166"/>
    <w:rsid w:val="001C1801"/>
    <w:rsid w:val="001C1BA8"/>
    <w:rsid w:val="001C31D0"/>
    <w:rsid w:val="001C3A22"/>
    <w:rsid w:val="001C5505"/>
    <w:rsid w:val="001C7C77"/>
    <w:rsid w:val="001D55F4"/>
    <w:rsid w:val="001F56F2"/>
    <w:rsid w:val="001F670E"/>
    <w:rsid w:val="001F7530"/>
    <w:rsid w:val="002005EC"/>
    <w:rsid w:val="00201FAC"/>
    <w:rsid w:val="00202D71"/>
    <w:rsid w:val="002037D1"/>
    <w:rsid w:val="00206D8A"/>
    <w:rsid w:val="00211845"/>
    <w:rsid w:val="002224CB"/>
    <w:rsid w:val="00223969"/>
    <w:rsid w:val="002271BB"/>
    <w:rsid w:val="00231778"/>
    <w:rsid w:val="00237F50"/>
    <w:rsid w:val="00240C8F"/>
    <w:rsid w:val="00241572"/>
    <w:rsid w:val="0024368E"/>
    <w:rsid w:val="00245B3F"/>
    <w:rsid w:val="00246A8F"/>
    <w:rsid w:val="00251121"/>
    <w:rsid w:val="00251691"/>
    <w:rsid w:val="002568F1"/>
    <w:rsid w:val="00260F76"/>
    <w:rsid w:val="00267209"/>
    <w:rsid w:val="00270605"/>
    <w:rsid w:val="002745DA"/>
    <w:rsid w:val="0028002B"/>
    <w:rsid w:val="00283685"/>
    <w:rsid w:val="002908C6"/>
    <w:rsid w:val="00296A28"/>
    <w:rsid w:val="00297F70"/>
    <w:rsid w:val="002A3609"/>
    <w:rsid w:val="002A41E5"/>
    <w:rsid w:val="002A761F"/>
    <w:rsid w:val="002B5A2F"/>
    <w:rsid w:val="002B6BCE"/>
    <w:rsid w:val="002C568B"/>
    <w:rsid w:val="002C5B2E"/>
    <w:rsid w:val="002D2E7D"/>
    <w:rsid w:val="002D39EF"/>
    <w:rsid w:val="002D5EF6"/>
    <w:rsid w:val="002D648E"/>
    <w:rsid w:val="002E52C1"/>
    <w:rsid w:val="002E6842"/>
    <w:rsid w:val="002F15F5"/>
    <w:rsid w:val="002F2354"/>
    <w:rsid w:val="002F2A3E"/>
    <w:rsid w:val="002F6960"/>
    <w:rsid w:val="003014F4"/>
    <w:rsid w:val="00303A9E"/>
    <w:rsid w:val="00305E2C"/>
    <w:rsid w:val="00312038"/>
    <w:rsid w:val="0031267C"/>
    <w:rsid w:val="00331A38"/>
    <w:rsid w:val="003340D2"/>
    <w:rsid w:val="0034079B"/>
    <w:rsid w:val="0034225F"/>
    <w:rsid w:val="00345984"/>
    <w:rsid w:val="00345CEE"/>
    <w:rsid w:val="00351C88"/>
    <w:rsid w:val="00354154"/>
    <w:rsid w:val="0035462E"/>
    <w:rsid w:val="0035545F"/>
    <w:rsid w:val="00355D89"/>
    <w:rsid w:val="00356D6F"/>
    <w:rsid w:val="00357C02"/>
    <w:rsid w:val="00357E84"/>
    <w:rsid w:val="003628CA"/>
    <w:rsid w:val="003647F2"/>
    <w:rsid w:val="003676B5"/>
    <w:rsid w:val="00373829"/>
    <w:rsid w:val="003741C9"/>
    <w:rsid w:val="00374792"/>
    <w:rsid w:val="00382F06"/>
    <w:rsid w:val="00383858"/>
    <w:rsid w:val="00384F65"/>
    <w:rsid w:val="003855DA"/>
    <w:rsid w:val="003939E1"/>
    <w:rsid w:val="003A0226"/>
    <w:rsid w:val="003A71FC"/>
    <w:rsid w:val="003B2D7C"/>
    <w:rsid w:val="003B323F"/>
    <w:rsid w:val="003B3E95"/>
    <w:rsid w:val="003B42AE"/>
    <w:rsid w:val="003B44F3"/>
    <w:rsid w:val="003B4BC1"/>
    <w:rsid w:val="003C0384"/>
    <w:rsid w:val="003C1141"/>
    <w:rsid w:val="003C6919"/>
    <w:rsid w:val="003D0C17"/>
    <w:rsid w:val="003D449D"/>
    <w:rsid w:val="003D491C"/>
    <w:rsid w:val="003E25B7"/>
    <w:rsid w:val="003E2804"/>
    <w:rsid w:val="003E74C2"/>
    <w:rsid w:val="003F0FF1"/>
    <w:rsid w:val="003F3C76"/>
    <w:rsid w:val="003F4240"/>
    <w:rsid w:val="00403C8E"/>
    <w:rsid w:val="00407301"/>
    <w:rsid w:val="00413057"/>
    <w:rsid w:val="0041554D"/>
    <w:rsid w:val="00416733"/>
    <w:rsid w:val="00416D23"/>
    <w:rsid w:val="004215BC"/>
    <w:rsid w:val="00421ACE"/>
    <w:rsid w:val="00432539"/>
    <w:rsid w:val="00432D8F"/>
    <w:rsid w:val="00434EBB"/>
    <w:rsid w:val="00437BE3"/>
    <w:rsid w:val="00442B9E"/>
    <w:rsid w:val="004434EC"/>
    <w:rsid w:val="00446F9F"/>
    <w:rsid w:val="00447E5F"/>
    <w:rsid w:val="004526EA"/>
    <w:rsid w:val="00457F15"/>
    <w:rsid w:val="00466483"/>
    <w:rsid w:val="00473F7B"/>
    <w:rsid w:val="00474C8A"/>
    <w:rsid w:val="0048073E"/>
    <w:rsid w:val="00481717"/>
    <w:rsid w:val="00490AF8"/>
    <w:rsid w:val="00491A32"/>
    <w:rsid w:val="004A58FF"/>
    <w:rsid w:val="004A7E37"/>
    <w:rsid w:val="004B5CD4"/>
    <w:rsid w:val="004C07D0"/>
    <w:rsid w:val="004C33E4"/>
    <w:rsid w:val="004C34B6"/>
    <w:rsid w:val="004C402F"/>
    <w:rsid w:val="004C700F"/>
    <w:rsid w:val="004C79AF"/>
    <w:rsid w:val="004D5E83"/>
    <w:rsid w:val="004D6110"/>
    <w:rsid w:val="004D7E8A"/>
    <w:rsid w:val="004E1281"/>
    <w:rsid w:val="004E4C15"/>
    <w:rsid w:val="004E5C99"/>
    <w:rsid w:val="004F64A3"/>
    <w:rsid w:val="0050074A"/>
    <w:rsid w:val="00500807"/>
    <w:rsid w:val="0050180B"/>
    <w:rsid w:val="0050289D"/>
    <w:rsid w:val="005131AB"/>
    <w:rsid w:val="00513326"/>
    <w:rsid w:val="005135DF"/>
    <w:rsid w:val="005165F9"/>
    <w:rsid w:val="00516766"/>
    <w:rsid w:val="0052053B"/>
    <w:rsid w:val="005317CD"/>
    <w:rsid w:val="00531E46"/>
    <w:rsid w:val="00532D7C"/>
    <w:rsid w:val="00536D41"/>
    <w:rsid w:val="005466A5"/>
    <w:rsid w:val="00550686"/>
    <w:rsid w:val="005507D7"/>
    <w:rsid w:val="00550954"/>
    <w:rsid w:val="0055397A"/>
    <w:rsid w:val="00554B0D"/>
    <w:rsid w:val="00560485"/>
    <w:rsid w:val="00564249"/>
    <w:rsid w:val="005672BC"/>
    <w:rsid w:val="00575070"/>
    <w:rsid w:val="005842FD"/>
    <w:rsid w:val="00595181"/>
    <w:rsid w:val="005A3893"/>
    <w:rsid w:val="005B5EFC"/>
    <w:rsid w:val="005B7FE2"/>
    <w:rsid w:val="005C12BA"/>
    <w:rsid w:val="005C16EA"/>
    <w:rsid w:val="005C2376"/>
    <w:rsid w:val="005D1965"/>
    <w:rsid w:val="005D2634"/>
    <w:rsid w:val="005D280D"/>
    <w:rsid w:val="005D32C5"/>
    <w:rsid w:val="005D406F"/>
    <w:rsid w:val="005D4D23"/>
    <w:rsid w:val="005D70EA"/>
    <w:rsid w:val="005E0FC5"/>
    <w:rsid w:val="005E3964"/>
    <w:rsid w:val="005E50EE"/>
    <w:rsid w:val="005E7864"/>
    <w:rsid w:val="005F3CBB"/>
    <w:rsid w:val="005F5842"/>
    <w:rsid w:val="0060054C"/>
    <w:rsid w:val="006011BD"/>
    <w:rsid w:val="00601B2A"/>
    <w:rsid w:val="006036FF"/>
    <w:rsid w:val="00611F34"/>
    <w:rsid w:val="006139C5"/>
    <w:rsid w:val="0062590A"/>
    <w:rsid w:val="00630D2E"/>
    <w:rsid w:val="006325B9"/>
    <w:rsid w:val="00632639"/>
    <w:rsid w:val="00632FFE"/>
    <w:rsid w:val="00643215"/>
    <w:rsid w:val="00643E86"/>
    <w:rsid w:val="0064673E"/>
    <w:rsid w:val="00655DD7"/>
    <w:rsid w:val="0065763C"/>
    <w:rsid w:val="006619A9"/>
    <w:rsid w:val="00661A3C"/>
    <w:rsid w:val="0066595F"/>
    <w:rsid w:val="00670052"/>
    <w:rsid w:val="00672172"/>
    <w:rsid w:val="00681E36"/>
    <w:rsid w:val="00682777"/>
    <w:rsid w:val="00683DF8"/>
    <w:rsid w:val="00691FA0"/>
    <w:rsid w:val="00692816"/>
    <w:rsid w:val="00693C26"/>
    <w:rsid w:val="00693D72"/>
    <w:rsid w:val="006A10EB"/>
    <w:rsid w:val="006B2918"/>
    <w:rsid w:val="006B2938"/>
    <w:rsid w:val="006B42EF"/>
    <w:rsid w:val="006C0BA8"/>
    <w:rsid w:val="006C2803"/>
    <w:rsid w:val="006C5F21"/>
    <w:rsid w:val="006C6435"/>
    <w:rsid w:val="006D1020"/>
    <w:rsid w:val="006D6B2A"/>
    <w:rsid w:val="006E13FB"/>
    <w:rsid w:val="006E1884"/>
    <w:rsid w:val="006E249A"/>
    <w:rsid w:val="006F1195"/>
    <w:rsid w:val="006F63A4"/>
    <w:rsid w:val="006F6C32"/>
    <w:rsid w:val="00707474"/>
    <w:rsid w:val="0071281D"/>
    <w:rsid w:val="00715813"/>
    <w:rsid w:val="007216B2"/>
    <w:rsid w:val="00724081"/>
    <w:rsid w:val="007249F2"/>
    <w:rsid w:val="00726D59"/>
    <w:rsid w:val="00730F0D"/>
    <w:rsid w:val="007370D7"/>
    <w:rsid w:val="007371B3"/>
    <w:rsid w:val="00741B5A"/>
    <w:rsid w:val="007429AE"/>
    <w:rsid w:val="00744478"/>
    <w:rsid w:val="00747CFF"/>
    <w:rsid w:val="00750071"/>
    <w:rsid w:val="00752EF1"/>
    <w:rsid w:val="00756253"/>
    <w:rsid w:val="00764836"/>
    <w:rsid w:val="007702C7"/>
    <w:rsid w:val="007730CC"/>
    <w:rsid w:val="0077336C"/>
    <w:rsid w:val="0078675E"/>
    <w:rsid w:val="00791CE7"/>
    <w:rsid w:val="00797768"/>
    <w:rsid w:val="007A2729"/>
    <w:rsid w:val="007A3B29"/>
    <w:rsid w:val="007B2C34"/>
    <w:rsid w:val="007B4A87"/>
    <w:rsid w:val="007C1D1B"/>
    <w:rsid w:val="007C451C"/>
    <w:rsid w:val="007D5543"/>
    <w:rsid w:val="007D5969"/>
    <w:rsid w:val="007E1DD0"/>
    <w:rsid w:val="007E3D10"/>
    <w:rsid w:val="007E5DB3"/>
    <w:rsid w:val="007E76DF"/>
    <w:rsid w:val="007F7298"/>
    <w:rsid w:val="007F774B"/>
    <w:rsid w:val="00800480"/>
    <w:rsid w:val="0080402B"/>
    <w:rsid w:val="00806BC9"/>
    <w:rsid w:val="00807D4B"/>
    <w:rsid w:val="00807F22"/>
    <w:rsid w:val="00810343"/>
    <w:rsid w:val="00811C5D"/>
    <w:rsid w:val="00815080"/>
    <w:rsid w:val="008162A8"/>
    <w:rsid w:val="00821615"/>
    <w:rsid w:val="008222C3"/>
    <w:rsid w:val="008302CB"/>
    <w:rsid w:val="00837E46"/>
    <w:rsid w:val="00841511"/>
    <w:rsid w:val="008458D9"/>
    <w:rsid w:val="008512B5"/>
    <w:rsid w:val="00865C95"/>
    <w:rsid w:val="0087643A"/>
    <w:rsid w:val="00876C76"/>
    <w:rsid w:val="00884E00"/>
    <w:rsid w:val="00886F95"/>
    <w:rsid w:val="00890109"/>
    <w:rsid w:val="0089114D"/>
    <w:rsid w:val="00893CF9"/>
    <w:rsid w:val="00896CAF"/>
    <w:rsid w:val="00897150"/>
    <w:rsid w:val="008A147A"/>
    <w:rsid w:val="008A3034"/>
    <w:rsid w:val="008A35F3"/>
    <w:rsid w:val="008A7922"/>
    <w:rsid w:val="008B2DA0"/>
    <w:rsid w:val="008B311F"/>
    <w:rsid w:val="008C0597"/>
    <w:rsid w:val="008C0839"/>
    <w:rsid w:val="008C1147"/>
    <w:rsid w:val="008C1189"/>
    <w:rsid w:val="008C44DC"/>
    <w:rsid w:val="008D0EF9"/>
    <w:rsid w:val="008D2339"/>
    <w:rsid w:val="008D2DFA"/>
    <w:rsid w:val="008D4313"/>
    <w:rsid w:val="008D5853"/>
    <w:rsid w:val="008D5E56"/>
    <w:rsid w:val="008D6393"/>
    <w:rsid w:val="008D757F"/>
    <w:rsid w:val="008F524C"/>
    <w:rsid w:val="008F6284"/>
    <w:rsid w:val="0090764E"/>
    <w:rsid w:val="00913052"/>
    <w:rsid w:val="009134AB"/>
    <w:rsid w:val="0091605D"/>
    <w:rsid w:val="00916EB9"/>
    <w:rsid w:val="009202D8"/>
    <w:rsid w:val="00923EAB"/>
    <w:rsid w:val="00925AD6"/>
    <w:rsid w:val="0092717C"/>
    <w:rsid w:val="00933D5D"/>
    <w:rsid w:val="0093497E"/>
    <w:rsid w:val="00940A24"/>
    <w:rsid w:val="00940B52"/>
    <w:rsid w:val="009461E5"/>
    <w:rsid w:val="009466B1"/>
    <w:rsid w:val="0094712F"/>
    <w:rsid w:val="00947374"/>
    <w:rsid w:val="00954A32"/>
    <w:rsid w:val="00956D12"/>
    <w:rsid w:val="00961FAC"/>
    <w:rsid w:val="009640E5"/>
    <w:rsid w:val="00965A8C"/>
    <w:rsid w:val="00971A54"/>
    <w:rsid w:val="0097313B"/>
    <w:rsid w:val="009818AB"/>
    <w:rsid w:val="00982CFA"/>
    <w:rsid w:val="00983CE3"/>
    <w:rsid w:val="00984E96"/>
    <w:rsid w:val="00985782"/>
    <w:rsid w:val="00987E65"/>
    <w:rsid w:val="009972F5"/>
    <w:rsid w:val="009A0CE9"/>
    <w:rsid w:val="009A16E1"/>
    <w:rsid w:val="009A5501"/>
    <w:rsid w:val="009A57F4"/>
    <w:rsid w:val="009B6098"/>
    <w:rsid w:val="009C0B7E"/>
    <w:rsid w:val="009C0C4A"/>
    <w:rsid w:val="009C2183"/>
    <w:rsid w:val="009C5300"/>
    <w:rsid w:val="009C5335"/>
    <w:rsid w:val="009D154B"/>
    <w:rsid w:val="009D4508"/>
    <w:rsid w:val="009D58AF"/>
    <w:rsid w:val="009E4BBE"/>
    <w:rsid w:val="009E53AB"/>
    <w:rsid w:val="009E736F"/>
    <w:rsid w:val="009F0019"/>
    <w:rsid w:val="009F4004"/>
    <w:rsid w:val="00A01AB6"/>
    <w:rsid w:val="00A03110"/>
    <w:rsid w:val="00A04388"/>
    <w:rsid w:val="00A04FF1"/>
    <w:rsid w:val="00A05E80"/>
    <w:rsid w:val="00A130E3"/>
    <w:rsid w:val="00A16B6A"/>
    <w:rsid w:val="00A24C07"/>
    <w:rsid w:val="00A26D83"/>
    <w:rsid w:val="00A31FB5"/>
    <w:rsid w:val="00A364BD"/>
    <w:rsid w:val="00A37412"/>
    <w:rsid w:val="00A41439"/>
    <w:rsid w:val="00A431B1"/>
    <w:rsid w:val="00A5009B"/>
    <w:rsid w:val="00A52A55"/>
    <w:rsid w:val="00A538B1"/>
    <w:rsid w:val="00A540A5"/>
    <w:rsid w:val="00A57068"/>
    <w:rsid w:val="00A60339"/>
    <w:rsid w:val="00A61714"/>
    <w:rsid w:val="00A67639"/>
    <w:rsid w:val="00A7169B"/>
    <w:rsid w:val="00A74E08"/>
    <w:rsid w:val="00A83D16"/>
    <w:rsid w:val="00A86E12"/>
    <w:rsid w:val="00A87DDF"/>
    <w:rsid w:val="00A9341A"/>
    <w:rsid w:val="00AA0867"/>
    <w:rsid w:val="00AA295D"/>
    <w:rsid w:val="00AA4CA9"/>
    <w:rsid w:val="00AA7EE7"/>
    <w:rsid w:val="00AB62DB"/>
    <w:rsid w:val="00AB77CB"/>
    <w:rsid w:val="00AC18CE"/>
    <w:rsid w:val="00AC3494"/>
    <w:rsid w:val="00AC4746"/>
    <w:rsid w:val="00AC4837"/>
    <w:rsid w:val="00AC6ACD"/>
    <w:rsid w:val="00AD29A1"/>
    <w:rsid w:val="00AE15B6"/>
    <w:rsid w:val="00AE3CB1"/>
    <w:rsid w:val="00AE6D3F"/>
    <w:rsid w:val="00B004AF"/>
    <w:rsid w:val="00B0231E"/>
    <w:rsid w:val="00B075E7"/>
    <w:rsid w:val="00B12206"/>
    <w:rsid w:val="00B131D1"/>
    <w:rsid w:val="00B140E3"/>
    <w:rsid w:val="00B14C07"/>
    <w:rsid w:val="00B15E15"/>
    <w:rsid w:val="00B209DC"/>
    <w:rsid w:val="00B23473"/>
    <w:rsid w:val="00B2637E"/>
    <w:rsid w:val="00B31D2F"/>
    <w:rsid w:val="00B36D13"/>
    <w:rsid w:val="00B37771"/>
    <w:rsid w:val="00B37796"/>
    <w:rsid w:val="00B40DED"/>
    <w:rsid w:val="00B44EFD"/>
    <w:rsid w:val="00B460F1"/>
    <w:rsid w:val="00B5388C"/>
    <w:rsid w:val="00B544D9"/>
    <w:rsid w:val="00B5731B"/>
    <w:rsid w:val="00B606E6"/>
    <w:rsid w:val="00B75F8A"/>
    <w:rsid w:val="00B81AFA"/>
    <w:rsid w:val="00B85E74"/>
    <w:rsid w:val="00B9280F"/>
    <w:rsid w:val="00B9519E"/>
    <w:rsid w:val="00BA0E30"/>
    <w:rsid w:val="00BA522E"/>
    <w:rsid w:val="00BB1980"/>
    <w:rsid w:val="00BB1A72"/>
    <w:rsid w:val="00BB274E"/>
    <w:rsid w:val="00BB4237"/>
    <w:rsid w:val="00BB7370"/>
    <w:rsid w:val="00BC4E03"/>
    <w:rsid w:val="00BC67ED"/>
    <w:rsid w:val="00BC7DD7"/>
    <w:rsid w:val="00BD28F8"/>
    <w:rsid w:val="00BD4B68"/>
    <w:rsid w:val="00BD4F0A"/>
    <w:rsid w:val="00BD7634"/>
    <w:rsid w:val="00BE166C"/>
    <w:rsid w:val="00BE5976"/>
    <w:rsid w:val="00BF0891"/>
    <w:rsid w:val="00BF3894"/>
    <w:rsid w:val="00BF48FA"/>
    <w:rsid w:val="00BF501B"/>
    <w:rsid w:val="00BF7021"/>
    <w:rsid w:val="00C03375"/>
    <w:rsid w:val="00C0369C"/>
    <w:rsid w:val="00C059EC"/>
    <w:rsid w:val="00C10149"/>
    <w:rsid w:val="00C20C91"/>
    <w:rsid w:val="00C36605"/>
    <w:rsid w:val="00C37D5B"/>
    <w:rsid w:val="00C402CD"/>
    <w:rsid w:val="00C438E4"/>
    <w:rsid w:val="00C44712"/>
    <w:rsid w:val="00C45888"/>
    <w:rsid w:val="00C4737A"/>
    <w:rsid w:val="00C63083"/>
    <w:rsid w:val="00C67454"/>
    <w:rsid w:val="00C67971"/>
    <w:rsid w:val="00C749B5"/>
    <w:rsid w:val="00C760A3"/>
    <w:rsid w:val="00C807BC"/>
    <w:rsid w:val="00C841B2"/>
    <w:rsid w:val="00C917EB"/>
    <w:rsid w:val="00C9241B"/>
    <w:rsid w:val="00C9384F"/>
    <w:rsid w:val="00C95402"/>
    <w:rsid w:val="00C956EB"/>
    <w:rsid w:val="00CA45DC"/>
    <w:rsid w:val="00CA4FBA"/>
    <w:rsid w:val="00CA5188"/>
    <w:rsid w:val="00CA5447"/>
    <w:rsid w:val="00CA6487"/>
    <w:rsid w:val="00CB0A3A"/>
    <w:rsid w:val="00CB6B9F"/>
    <w:rsid w:val="00CC2E7E"/>
    <w:rsid w:val="00CC3016"/>
    <w:rsid w:val="00CC3122"/>
    <w:rsid w:val="00CC3A31"/>
    <w:rsid w:val="00CD1EC9"/>
    <w:rsid w:val="00CD39C2"/>
    <w:rsid w:val="00CE1E27"/>
    <w:rsid w:val="00CE265F"/>
    <w:rsid w:val="00CF6CA2"/>
    <w:rsid w:val="00D06D5B"/>
    <w:rsid w:val="00D121C2"/>
    <w:rsid w:val="00D13861"/>
    <w:rsid w:val="00D14863"/>
    <w:rsid w:val="00D209BD"/>
    <w:rsid w:val="00D35E43"/>
    <w:rsid w:val="00D4090C"/>
    <w:rsid w:val="00D453D7"/>
    <w:rsid w:val="00D4578F"/>
    <w:rsid w:val="00D4799B"/>
    <w:rsid w:val="00D5168D"/>
    <w:rsid w:val="00D529DF"/>
    <w:rsid w:val="00D54CE3"/>
    <w:rsid w:val="00D54DA0"/>
    <w:rsid w:val="00D55213"/>
    <w:rsid w:val="00D56A76"/>
    <w:rsid w:val="00D66CA6"/>
    <w:rsid w:val="00D702C3"/>
    <w:rsid w:val="00D73CA3"/>
    <w:rsid w:val="00D75D30"/>
    <w:rsid w:val="00D76D50"/>
    <w:rsid w:val="00D80FE4"/>
    <w:rsid w:val="00D8376D"/>
    <w:rsid w:val="00D842D8"/>
    <w:rsid w:val="00D84F49"/>
    <w:rsid w:val="00D854CC"/>
    <w:rsid w:val="00D87670"/>
    <w:rsid w:val="00D933A3"/>
    <w:rsid w:val="00DA07F2"/>
    <w:rsid w:val="00DA0E57"/>
    <w:rsid w:val="00DA5C94"/>
    <w:rsid w:val="00DA641A"/>
    <w:rsid w:val="00DA6F20"/>
    <w:rsid w:val="00DB245C"/>
    <w:rsid w:val="00DB33D2"/>
    <w:rsid w:val="00DB4EAC"/>
    <w:rsid w:val="00DB6B6F"/>
    <w:rsid w:val="00DC110E"/>
    <w:rsid w:val="00DD14B7"/>
    <w:rsid w:val="00DD18E1"/>
    <w:rsid w:val="00DD6C6B"/>
    <w:rsid w:val="00DD6C8F"/>
    <w:rsid w:val="00DE2479"/>
    <w:rsid w:val="00DE2B2B"/>
    <w:rsid w:val="00DE4FBF"/>
    <w:rsid w:val="00DE5DB1"/>
    <w:rsid w:val="00DE70A4"/>
    <w:rsid w:val="00DE7954"/>
    <w:rsid w:val="00DF0075"/>
    <w:rsid w:val="00DF3332"/>
    <w:rsid w:val="00DF626B"/>
    <w:rsid w:val="00E00460"/>
    <w:rsid w:val="00E019C7"/>
    <w:rsid w:val="00E0750B"/>
    <w:rsid w:val="00E07928"/>
    <w:rsid w:val="00E17B7E"/>
    <w:rsid w:val="00E249E0"/>
    <w:rsid w:val="00E336CD"/>
    <w:rsid w:val="00E35384"/>
    <w:rsid w:val="00E42EAA"/>
    <w:rsid w:val="00E45FB2"/>
    <w:rsid w:val="00E50FCB"/>
    <w:rsid w:val="00E5435D"/>
    <w:rsid w:val="00E54F75"/>
    <w:rsid w:val="00E558B0"/>
    <w:rsid w:val="00E63F94"/>
    <w:rsid w:val="00E70E2B"/>
    <w:rsid w:val="00E713B2"/>
    <w:rsid w:val="00E71996"/>
    <w:rsid w:val="00E7250D"/>
    <w:rsid w:val="00E74179"/>
    <w:rsid w:val="00E74812"/>
    <w:rsid w:val="00E75837"/>
    <w:rsid w:val="00E75856"/>
    <w:rsid w:val="00E80E4D"/>
    <w:rsid w:val="00E810B5"/>
    <w:rsid w:val="00E84B6D"/>
    <w:rsid w:val="00E8548F"/>
    <w:rsid w:val="00E86A7C"/>
    <w:rsid w:val="00E946D8"/>
    <w:rsid w:val="00E975F7"/>
    <w:rsid w:val="00EA5B0E"/>
    <w:rsid w:val="00EB2A2D"/>
    <w:rsid w:val="00EB69D3"/>
    <w:rsid w:val="00EB6C1E"/>
    <w:rsid w:val="00EC177B"/>
    <w:rsid w:val="00EC4441"/>
    <w:rsid w:val="00EC7B99"/>
    <w:rsid w:val="00ED0F7A"/>
    <w:rsid w:val="00ED19BC"/>
    <w:rsid w:val="00EE1302"/>
    <w:rsid w:val="00EE324A"/>
    <w:rsid w:val="00EE33E3"/>
    <w:rsid w:val="00EF3FCA"/>
    <w:rsid w:val="00EF4CEA"/>
    <w:rsid w:val="00F03EB9"/>
    <w:rsid w:val="00F043E2"/>
    <w:rsid w:val="00F0701E"/>
    <w:rsid w:val="00F239AA"/>
    <w:rsid w:val="00F32A5C"/>
    <w:rsid w:val="00F36700"/>
    <w:rsid w:val="00F42A6D"/>
    <w:rsid w:val="00F453EA"/>
    <w:rsid w:val="00F54D61"/>
    <w:rsid w:val="00F559B3"/>
    <w:rsid w:val="00F571E2"/>
    <w:rsid w:val="00F6234E"/>
    <w:rsid w:val="00F6399D"/>
    <w:rsid w:val="00F67E6E"/>
    <w:rsid w:val="00F71D7D"/>
    <w:rsid w:val="00F71EE9"/>
    <w:rsid w:val="00F74CCD"/>
    <w:rsid w:val="00F80119"/>
    <w:rsid w:val="00F85B96"/>
    <w:rsid w:val="00F91C9D"/>
    <w:rsid w:val="00FA7AE4"/>
    <w:rsid w:val="00FB3A17"/>
    <w:rsid w:val="00FB5BA3"/>
    <w:rsid w:val="00FB6832"/>
    <w:rsid w:val="00FB6EFF"/>
    <w:rsid w:val="00FC0709"/>
    <w:rsid w:val="00FC3308"/>
    <w:rsid w:val="00FC4194"/>
    <w:rsid w:val="00FC484A"/>
    <w:rsid w:val="00FC4E27"/>
    <w:rsid w:val="00FD165F"/>
    <w:rsid w:val="00FD7454"/>
    <w:rsid w:val="00FE44EC"/>
    <w:rsid w:val="00FE60B9"/>
    <w:rsid w:val="00FE68A9"/>
    <w:rsid w:val="00FF6352"/>
    <w:rsid w:val="00FF73E1"/>
    <w:rsid w:val="00FF747B"/>
    <w:rsid w:val="014A55AA"/>
    <w:rsid w:val="01D06A90"/>
    <w:rsid w:val="022E0D31"/>
    <w:rsid w:val="03EC19F8"/>
    <w:rsid w:val="08CB606A"/>
    <w:rsid w:val="0D081C65"/>
    <w:rsid w:val="0D880C59"/>
    <w:rsid w:val="0FBC649F"/>
    <w:rsid w:val="10D42BB6"/>
    <w:rsid w:val="11B4266C"/>
    <w:rsid w:val="11DB2196"/>
    <w:rsid w:val="134808A7"/>
    <w:rsid w:val="180A4854"/>
    <w:rsid w:val="19896808"/>
    <w:rsid w:val="1B771192"/>
    <w:rsid w:val="1BD7080F"/>
    <w:rsid w:val="1CD569C5"/>
    <w:rsid w:val="1D201734"/>
    <w:rsid w:val="1E8E21E0"/>
    <w:rsid w:val="218B54FA"/>
    <w:rsid w:val="23221408"/>
    <w:rsid w:val="255A1ABB"/>
    <w:rsid w:val="2D304F7E"/>
    <w:rsid w:val="2D5116A9"/>
    <w:rsid w:val="2D613012"/>
    <w:rsid w:val="2F6B1263"/>
    <w:rsid w:val="343F60FB"/>
    <w:rsid w:val="384A07C4"/>
    <w:rsid w:val="388D1922"/>
    <w:rsid w:val="394A07B8"/>
    <w:rsid w:val="3BA04504"/>
    <w:rsid w:val="3D7E33FC"/>
    <w:rsid w:val="3FA82C7D"/>
    <w:rsid w:val="409E0783"/>
    <w:rsid w:val="440752E9"/>
    <w:rsid w:val="444E1BE6"/>
    <w:rsid w:val="45D65075"/>
    <w:rsid w:val="49C16BC8"/>
    <w:rsid w:val="4C1E6192"/>
    <w:rsid w:val="4C450B45"/>
    <w:rsid w:val="4E427F9E"/>
    <w:rsid w:val="4EF550EA"/>
    <w:rsid w:val="4FC07426"/>
    <w:rsid w:val="4FC30956"/>
    <w:rsid w:val="52BA6E04"/>
    <w:rsid w:val="53EE15A7"/>
    <w:rsid w:val="54E245AA"/>
    <w:rsid w:val="580B0628"/>
    <w:rsid w:val="59267DB8"/>
    <w:rsid w:val="595B58D8"/>
    <w:rsid w:val="5BFA2498"/>
    <w:rsid w:val="61683457"/>
    <w:rsid w:val="618C21BA"/>
    <w:rsid w:val="620A4506"/>
    <w:rsid w:val="622E0E5C"/>
    <w:rsid w:val="63FA22D9"/>
    <w:rsid w:val="65430F4B"/>
    <w:rsid w:val="6D0555C1"/>
    <w:rsid w:val="6DB647AA"/>
    <w:rsid w:val="6DB73849"/>
    <w:rsid w:val="74440F54"/>
    <w:rsid w:val="74E26871"/>
    <w:rsid w:val="75826B26"/>
    <w:rsid w:val="77F45805"/>
    <w:rsid w:val="793759C7"/>
    <w:rsid w:val="7A6C7F12"/>
    <w:rsid w:val="7EC97D22"/>
    <w:rsid w:val="7FAA6A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qFormat="1" w:unhideWhenUsed="0" w:uiPriority="0" w:semiHidden="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宋体" w:asciiTheme="minorHAnsi" w:hAnsiTheme="minorHAnsi" w:cstheme="minorBidi"/>
      <w:kern w:val="2"/>
      <w:sz w:val="21"/>
      <w:szCs w:val="24"/>
      <w:lang w:val="en-US" w:eastAsia="zh-CN" w:bidi="ar-SA"/>
    </w:rPr>
  </w:style>
  <w:style w:type="paragraph" w:styleId="5">
    <w:name w:val="heading 3"/>
    <w:basedOn w:val="1"/>
    <w:next w:val="1"/>
    <w:unhideWhenUsed/>
    <w:qFormat/>
    <w:uiPriority w:val="0"/>
    <w:pPr>
      <w:keepNext/>
      <w:keepLines/>
      <w:spacing w:line="360" w:lineRule="auto"/>
      <w:jc w:val="left"/>
      <w:outlineLvl w:val="2"/>
    </w:pPr>
    <w:rPr>
      <w:b/>
      <w:sz w:val="24"/>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customStyle="1" w:styleId="2">
    <w:name w:val="Default"/>
    <w:basedOn w:val="3"/>
    <w:next w:val="4"/>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
    <w:name w:val="纯文本1"/>
    <w:basedOn w:val="1"/>
    <w:qFormat/>
    <w:uiPriority w:val="0"/>
    <w:pPr>
      <w:adjustRightInd w:val="0"/>
    </w:pPr>
    <w:rPr>
      <w:rFonts w:ascii="宋体" w:hAnsi="Courier New"/>
      <w:szCs w:val="20"/>
    </w:rPr>
  </w:style>
  <w:style w:type="paragraph" w:styleId="4">
    <w:name w:val="List 3"/>
    <w:basedOn w:val="1"/>
    <w:next w:val="1"/>
    <w:qFormat/>
    <w:uiPriority w:val="0"/>
    <w:pPr>
      <w:jc w:val="left"/>
    </w:pPr>
    <w:rPr>
      <w:bCs/>
      <w:szCs w:val="21"/>
    </w:rPr>
  </w:style>
  <w:style w:type="paragraph" w:styleId="6">
    <w:name w:val="Body Text"/>
    <w:basedOn w:val="1"/>
    <w:qFormat/>
    <w:uiPriority w:val="0"/>
    <w:pPr>
      <w:spacing w:after="120"/>
    </w:pPr>
  </w:style>
  <w:style w:type="paragraph" w:styleId="7">
    <w:name w:val="Balloon Text"/>
    <w:basedOn w:val="1"/>
    <w:link w:val="28"/>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Body Text 2"/>
    <w:basedOn w:val="1"/>
    <w:qFormat/>
    <w:uiPriority w:val="0"/>
    <w:pPr>
      <w:adjustRightInd w:val="0"/>
      <w:spacing w:line="400" w:lineRule="atLeast"/>
      <w:textAlignment w:val="baseline"/>
    </w:pPr>
    <w:rPr>
      <w:kern w:val="0"/>
      <w:sz w:val="24"/>
      <w:szCs w:val="20"/>
    </w:rPr>
  </w:style>
  <w:style w:type="paragraph" w:styleId="11">
    <w:name w:val="Normal (Web)"/>
    <w:basedOn w:val="1"/>
    <w:qFormat/>
    <w:uiPriority w:val="0"/>
    <w:pPr>
      <w:jc w:val="left"/>
    </w:pPr>
    <w:rPr>
      <w:rFonts w:cs="Times New Roman"/>
      <w:kern w:val="0"/>
      <w:sz w:val="24"/>
    </w:rPr>
  </w:style>
  <w:style w:type="paragraph" w:styleId="12">
    <w:name w:val="Body Text First Indent"/>
    <w:basedOn w:val="6"/>
    <w:qFormat/>
    <w:uiPriority w:val="0"/>
    <w:pPr>
      <w:ind w:firstLine="420" w:firstLineChars="100"/>
    </w:pPr>
  </w:style>
  <w:style w:type="table" w:styleId="14">
    <w:name w:val="Table Grid"/>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Strong"/>
    <w:basedOn w:val="15"/>
    <w:qFormat/>
    <w:uiPriority w:val="0"/>
    <w:rPr>
      <w:b/>
    </w:rPr>
  </w:style>
  <w:style w:type="character" w:styleId="17">
    <w:name w:val="FollowedHyperlink"/>
    <w:basedOn w:val="15"/>
    <w:qFormat/>
    <w:uiPriority w:val="0"/>
    <w:rPr>
      <w:color w:val="2B2B2B"/>
      <w:u w:val="none"/>
    </w:rPr>
  </w:style>
  <w:style w:type="character" w:styleId="18">
    <w:name w:val="Emphasis"/>
    <w:basedOn w:val="15"/>
    <w:qFormat/>
    <w:uiPriority w:val="0"/>
  </w:style>
  <w:style w:type="character" w:styleId="19">
    <w:name w:val="Hyperlink"/>
    <w:basedOn w:val="15"/>
    <w:qFormat/>
    <w:uiPriority w:val="0"/>
    <w:rPr>
      <w:color w:val="2B2B2B"/>
      <w:u w:val="none"/>
    </w:rPr>
  </w:style>
  <w:style w:type="character" w:styleId="20">
    <w:name w:val="HTML Cite"/>
    <w:basedOn w:val="15"/>
    <w:qFormat/>
    <w:uiPriority w:val="0"/>
    <w:rPr>
      <w:color w:val="999999"/>
    </w:rPr>
  </w:style>
  <w:style w:type="paragraph" w:customStyle="1" w:styleId="21">
    <w:name w:val="新格式表"/>
    <w:basedOn w:val="1"/>
    <w:qFormat/>
    <w:uiPriority w:val="0"/>
    <w:pPr>
      <w:adjustRightInd w:val="0"/>
      <w:snapToGrid w:val="0"/>
      <w:spacing w:line="0" w:lineRule="atLeast"/>
      <w:jc w:val="center"/>
    </w:pPr>
    <w:rPr>
      <w:szCs w:val="21"/>
    </w:rPr>
  </w:style>
  <w:style w:type="paragraph" w:customStyle="1" w:styleId="22">
    <w:name w:val="_Style 11"/>
    <w:basedOn w:val="1"/>
    <w:next w:val="1"/>
    <w:qFormat/>
    <w:uiPriority w:val="0"/>
    <w:pPr>
      <w:pBdr>
        <w:bottom w:val="single" w:color="auto" w:sz="6" w:space="1"/>
      </w:pBdr>
      <w:jc w:val="center"/>
    </w:pPr>
    <w:rPr>
      <w:rFonts w:ascii="Arial"/>
      <w:vanish/>
      <w:sz w:val="16"/>
    </w:rPr>
  </w:style>
  <w:style w:type="paragraph" w:customStyle="1" w:styleId="23">
    <w:name w:val="_Style 12"/>
    <w:basedOn w:val="1"/>
    <w:next w:val="1"/>
    <w:qFormat/>
    <w:uiPriority w:val="0"/>
    <w:pPr>
      <w:pBdr>
        <w:top w:val="single" w:color="auto" w:sz="6" w:space="1"/>
      </w:pBdr>
      <w:jc w:val="center"/>
    </w:pPr>
    <w:rPr>
      <w:rFonts w:ascii="Arial"/>
      <w:vanish/>
      <w:sz w:val="16"/>
    </w:rPr>
  </w:style>
  <w:style w:type="paragraph" w:styleId="24">
    <w:name w:val="List Paragraph"/>
    <w:basedOn w:val="1"/>
    <w:qFormat/>
    <w:uiPriority w:val="99"/>
    <w:pPr>
      <w:ind w:firstLine="420" w:firstLineChars="200"/>
    </w:pPr>
  </w:style>
  <w:style w:type="paragraph" w:customStyle="1" w:styleId="25">
    <w:name w:val="_Style 15"/>
    <w:basedOn w:val="1"/>
    <w:next w:val="1"/>
    <w:qFormat/>
    <w:uiPriority w:val="0"/>
    <w:pPr>
      <w:pBdr>
        <w:bottom w:val="single" w:color="auto" w:sz="6" w:space="1"/>
      </w:pBdr>
      <w:jc w:val="center"/>
    </w:pPr>
    <w:rPr>
      <w:rFonts w:ascii="Arial"/>
      <w:vanish/>
      <w:sz w:val="16"/>
    </w:rPr>
  </w:style>
  <w:style w:type="paragraph" w:customStyle="1" w:styleId="26">
    <w:name w:val="_Style 16"/>
    <w:basedOn w:val="1"/>
    <w:next w:val="1"/>
    <w:qFormat/>
    <w:uiPriority w:val="0"/>
    <w:pPr>
      <w:pBdr>
        <w:top w:val="single" w:color="auto" w:sz="6" w:space="1"/>
      </w:pBdr>
      <w:jc w:val="center"/>
    </w:pPr>
    <w:rPr>
      <w:rFonts w:ascii="Arial"/>
      <w:vanish/>
      <w:sz w:val="16"/>
    </w:rPr>
  </w:style>
  <w:style w:type="paragraph" w:customStyle="1" w:styleId="27">
    <w:name w:val="Table Paragraph"/>
    <w:basedOn w:val="1"/>
    <w:qFormat/>
    <w:uiPriority w:val="1"/>
    <w:pPr>
      <w:autoSpaceDE w:val="0"/>
      <w:autoSpaceDN w:val="0"/>
      <w:adjustRightInd w:val="0"/>
      <w:jc w:val="left"/>
    </w:pPr>
    <w:rPr>
      <w:rFonts w:ascii="Times New Roman" w:hAnsi="Times New Roman" w:eastAsia="等线" w:cs="Times New Roman"/>
      <w:kern w:val="0"/>
      <w:sz w:val="24"/>
    </w:rPr>
  </w:style>
  <w:style w:type="character" w:customStyle="1" w:styleId="28">
    <w:name w:val="批注框文本 Char"/>
    <w:basedOn w:val="15"/>
    <w:link w:val="7"/>
    <w:qFormat/>
    <w:uiPriority w:val="0"/>
    <w:rPr>
      <w:rFonts w:asciiTheme="minorHAnsi" w:hAnsiTheme="minorHAnsi" w:cstheme="minorBidi"/>
      <w:kern w:val="2"/>
      <w:sz w:val="18"/>
      <w:szCs w:val="18"/>
    </w:rPr>
  </w:style>
  <w:style w:type="paragraph" w:customStyle="1" w:styleId="29">
    <w:name w:val="样式 五号 居中"/>
    <w:basedOn w:val="1"/>
    <w:qFormat/>
    <w:uiPriority w:val="0"/>
    <w:pPr>
      <w:jc w:val="center"/>
    </w:pPr>
    <w:rPr>
      <w:rFonts w:cs="宋体"/>
    </w:rPr>
  </w:style>
  <w:style w:type="paragraph" w:customStyle="1" w:styleId="30">
    <w:name w:val="表内文字"/>
    <w:basedOn w:val="1"/>
    <w:qFormat/>
    <w:uiPriority w:val="0"/>
    <w:pPr>
      <w:adjustRightInd w:val="0"/>
      <w:jc w:val="center"/>
      <w:textAlignment w:val="baseline"/>
    </w:pPr>
    <w:rPr>
      <w:szCs w:val="20"/>
    </w:rPr>
  </w:style>
  <w:style w:type="paragraph" w:customStyle="1" w:styleId="31">
    <w:name w:val="表格内容"/>
    <w:basedOn w:val="32"/>
    <w:next w:val="1"/>
    <w:qFormat/>
    <w:uiPriority w:val="0"/>
    <w:pPr>
      <w:spacing w:line="240" w:lineRule="atLeast"/>
    </w:pPr>
    <w:rPr>
      <w:rFonts w:ascii="Times New Roman" w:hAnsi="Times New Roman"/>
      <w:b w:val="0"/>
    </w:rPr>
  </w:style>
  <w:style w:type="paragraph" w:customStyle="1" w:styleId="32">
    <w:name w:val="表格标题"/>
    <w:basedOn w:val="6"/>
    <w:next w:val="31"/>
    <w:qFormat/>
    <w:uiPriority w:val="0"/>
    <w:pPr>
      <w:jc w:val="center"/>
    </w:pPr>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768BE5-3E2A-4F6D-9453-DB321B84D956}">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3</Pages>
  <Words>1872</Words>
  <Characters>2033</Characters>
  <Lines>10</Lines>
  <Paragraphs>2</Paragraphs>
  <TotalTime>38</TotalTime>
  <ScaleCrop>false</ScaleCrop>
  <LinksUpToDate>false</LinksUpToDate>
  <CharactersWithSpaces>2211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2021-10-15T01:22:00Z</dcterms:created>
  <dc:creator>Administrator</dc:creator>
  <cp:lastModifiedBy>小甜甜</cp:lastModifiedBy>
  <cp:lastPrinted>2025-08-04T06:42:02Z</cp:lastPrinted>
  <dcterms:modified xsi:type="dcterms:W3CDTF">2025-08-04T06:47:22Z</dcterms:modified>
  <cp:revision>195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eyJoZGlkIjoiNGI1NWQzNjUwZjBjNzVjMzQyZTZlYTE3MTY5ZTE5NGEiLCJ1c2VySWQiOiIyOTIxNzUzMTgifQ==</vt:lpwstr>
  </property>
  <property fmtid="{D5CDD505-2E9C-101B-9397-08002B2CF9AE}" pid="4" name="ICV">
    <vt:lpwstr>AB801E4D23CA49D0A86DDDF8FA181E10_12</vt:lpwstr>
  </property>
</Properties>
</file>