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280CB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before="74" w:line="224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23"/>
          <w:szCs w:val="23"/>
        </w:rPr>
      </w:pPr>
      <w:r>
        <w:rPr>
          <w:rFonts w:ascii="黑体" w:hAnsi="黑体" w:eastAsia="黑体" w:cs="黑体"/>
          <w:snapToGrid w:val="0"/>
          <w:color w:val="000000"/>
          <w:spacing w:val="-14"/>
          <w:kern w:val="0"/>
          <w:sz w:val="23"/>
          <w:szCs w:val="23"/>
        </w:rPr>
        <w:t>附件2</w:t>
      </w:r>
    </w:p>
    <w:p w14:paraId="598012FD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before="64" w:line="219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24"/>
          <w:szCs w:val="24"/>
        </w:rPr>
        <w:t>砀山县烈士陵园提升改造项目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3"/>
          <w:kern w:val="0"/>
          <w:sz w:val="24"/>
          <w:szCs w:val="24"/>
        </w:rPr>
        <w:t>转移支付区域(项目)绩效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3"/>
          <w:kern w:val="0"/>
          <w:sz w:val="24"/>
          <w:szCs w:val="24"/>
          <w:lang w:eastAsia="zh-CN"/>
        </w:rPr>
        <w:t>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3"/>
          <w:kern w:val="0"/>
          <w:sz w:val="24"/>
          <w:szCs w:val="24"/>
        </w:rPr>
        <w:t>标自评表</w:t>
      </w:r>
    </w:p>
    <w:p w14:paraId="37F6DB27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before="77" w:line="219" w:lineRule="auto"/>
        <w:jc w:val="center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6"/>
          <w:szCs w:val="16"/>
        </w:rPr>
      </w:pPr>
      <w:r>
        <w:rPr>
          <w:rFonts w:ascii="宋体" w:hAnsi="宋体" w:eastAsia="宋体" w:cs="宋体"/>
          <w:snapToGrid w:val="0"/>
          <w:color w:val="000000"/>
          <w:spacing w:val="4"/>
          <w:kern w:val="0"/>
          <w:sz w:val="16"/>
          <w:szCs w:val="16"/>
        </w:rPr>
        <w:t>(</w:t>
      </w:r>
      <w:r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16"/>
          <w:szCs w:val="16"/>
          <w:lang w:val="en-US"/>
        </w:rPr>
        <w:t>2024</w:t>
      </w:r>
      <w:r>
        <w:rPr>
          <w:rFonts w:ascii="宋体" w:hAnsi="宋体" w:eastAsia="宋体" w:cs="宋体"/>
          <w:snapToGrid w:val="0"/>
          <w:color w:val="000000"/>
          <w:spacing w:val="4"/>
          <w:kern w:val="0"/>
          <w:sz w:val="16"/>
          <w:szCs w:val="16"/>
        </w:rPr>
        <w:t>年度)</w:t>
      </w:r>
    </w:p>
    <w:tbl>
      <w:tblPr>
        <w:tblStyle w:val="5"/>
        <w:tblpPr w:leftFromText="180" w:rightFromText="180" w:vertAnchor="text" w:horzAnchor="page" w:tblpX="1819" w:tblpY="44"/>
        <w:tblOverlap w:val="never"/>
        <w:tblW w:w="85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735"/>
        <w:gridCol w:w="840"/>
        <w:gridCol w:w="1410"/>
        <w:gridCol w:w="1005"/>
        <w:gridCol w:w="1035"/>
        <w:gridCol w:w="1110"/>
        <w:gridCol w:w="1650"/>
      </w:tblGrid>
      <w:tr w14:paraId="3D9EC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368" w:type="dxa"/>
            <w:gridSpan w:val="3"/>
            <w:noWrap w:val="0"/>
            <w:vAlign w:val="center"/>
          </w:tcPr>
          <w:p w14:paraId="659FD594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right="119" w:hanging="522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</w:rPr>
              <w:t>转移支付(项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eastAsia="zh-CN"/>
              </w:rPr>
              <w:t>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</w:rPr>
              <w:t>)名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称</w:t>
            </w:r>
          </w:p>
        </w:tc>
        <w:tc>
          <w:tcPr>
            <w:tcW w:w="6210" w:type="dxa"/>
            <w:gridSpan w:val="5"/>
            <w:noWrap w:val="0"/>
            <w:vAlign w:val="top"/>
          </w:tcPr>
          <w:p w14:paraId="49AE399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</w:rPr>
              <w:t>砀山县烈士陵园提升改造项目目</w:t>
            </w:r>
          </w:p>
        </w:tc>
      </w:tr>
      <w:tr w14:paraId="77CA0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noWrap w:val="0"/>
            <w:vAlign w:val="top"/>
          </w:tcPr>
          <w:p w14:paraId="6DBDD0F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7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</w:rPr>
              <w:t>中央主管部门</w:t>
            </w:r>
          </w:p>
        </w:tc>
        <w:tc>
          <w:tcPr>
            <w:tcW w:w="6210" w:type="dxa"/>
            <w:gridSpan w:val="5"/>
            <w:noWrap w:val="0"/>
            <w:vAlign w:val="top"/>
          </w:tcPr>
          <w:p w14:paraId="2F68922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756F7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2368" w:type="dxa"/>
            <w:gridSpan w:val="3"/>
            <w:noWrap w:val="0"/>
            <w:vAlign w:val="top"/>
          </w:tcPr>
          <w:p w14:paraId="29A65EA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56" w:line="213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</w:rPr>
              <w:t>地方主管部门</w:t>
            </w:r>
          </w:p>
        </w:tc>
        <w:tc>
          <w:tcPr>
            <w:tcW w:w="2415" w:type="dxa"/>
            <w:gridSpan w:val="2"/>
            <w:noWrap w:val="0"/>
            <w:vAlign w:val="top"/>
          </w:tcPr>
          <w:p w14:paraId="0B8B2A4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eastAsia="zh-CN"/>
              </w:rPr>
              <w:t>砀山县退役军人事务局</w:t>
            </w:r>
          </w:p>
        </w:tc>
        <w:tc>
          <w:tcPr>
            <w:tcW w:w="1035" w:type="dxa"/>
            <w:noWrap w:val="0"/>
            <w:vAlign w:val="top"/>
          </w:tcPr>
          <w:p w14:paraId="7F2D70B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56" w:line="213" w:lineRule="auto"/>
              <w:ind w:left="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资金使用单位</w:t>
            </w:r>
          </w:p>
        </w:tc>
        <w:tc>
          <w:tcPr>
            <w:tcW w:w="2760" w:type="dxa"/>
            <w:gridSpan w:val="2"/>
            <w:noWrap w:val="0"/>
            <w:vAlign w:val="top"/>
          </w:tcPr>
          <w:p w14:paraId="33D0454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eastAsia="zh-CN"/>
              </w:rPr>
              <w:t>砀山县退役军人事务局</w:t>
            </w:r>
          </w:p>
        </w:tc>
      </w:tr>
      <w:tr w14:paraId="56973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368" w:type="dxa"/>
            <w:gridSpan w:val="3"/>
            <w:vMerge w:val="restart"/>
            <w:tcBorders>
              <w:bottom w:val="nil"/>
            </w:tcBorders>
            <w:noWrap w:val="0"/>
            <w:vAlign w:val="center"/>
          </w:tcPr>
          <w:p w14:paraId="769CBCF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8" w:line="22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资金投入情况</w:t>
            </w:r>
          </w:p>
          <w:p w14:paraId="52D0BE6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" w:line="22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15"/>
                <w:szCs w:val="15"/>
              </w:rPr>
              <w:t>(万元)</w:t>
            </w:r>
          </w:p>
        </w:tc>
        <w:tc>
          <w:tcPr>
            <w:tcW w:w="1410" w:type="dxa"/>
            <w:noWrap w:val="0"/>
            <w:vAlign w:val="top"/>
          </w:tcPr>
          <w:p w14:paraId="64E4F17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noWrap w:val="0"/>
            <w:vAlign w:val="top"/>
          </w:tcPr>
          <w:p w14:paraId="78E5B10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07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</w:rPr>
              <w:t>全年预算数(A)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 w14:paraId="5E3CB08E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5"/>
                <w:szCs w:val="15"/>
              </w:rPr>
              <w:t>全年执行数(B)</w:t>
            </w:r>
          </w:p>
        </w:tc>
        <w:tc>
          <w:tcPr>
            <w:tcW w:w="1650" w:type="dxa"/>
            <w:noWrap w:val="0"/>
            <w:vAlign w:val="center"/>
          </w:tcPr>
          <w:p w14:paraId="308585C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6" w:line="20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预算执行率</w:t>
            </w:r>
          </w:p>
          <w:p w14:paraId="783923B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97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5"/>
                <w:szCs w:val="15"/>
              </w:rPr>
              <w:t>(B/A×100%)</w:t>
            </w:r>
          </w:p>
        </w:tc>
      </w:tr>
      <w:tr w14:paraId="3CE20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C07D9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51CEAE3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66" w:line="212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15"/>
                <w:szCs w:val="15"/>
              </w:rPr>
              <w:t>年度资金总额：</w:t>
            </w:r>
          </w:p>
        </w:tc>
        <w:tc>
          <w:tcPr>
            <w:tcW w:w="1005" w:type="dxa"/>
            <w:noWrap w:val="0"/>
            <w:vAlign w:val="top"/>
          </w:tcPr>
          <w:p w14:paraId="4B6AB1A1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right="119" w:hanging="522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608</w:t>
            </w:r>
          </w:p>
        </w:tc>
        <w:tc>
          <w:tcPr>
            <w:tcW w:w="2145" w:type="dxa"/>
            <w:gridSpan w:val="2"/>
            <w:noWrap w:val="0"/>
            <w:vAlign w:val="top"/>
          </w:tcPr>
          <w:p w14:paraId="4400D468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right="119" w:hanging="522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185.71</w:t>
            </w:r>
          </w:p>
        </w:tc>
        <w:tc>
          <w:tcPr>
            <w:tcW w:w="1650" w:type="dxa"/>
            <w:noWrap w:val="0"/>
            <w:vAlign w:val="top"/>
          </w:tcPr>
          <w:p w14:paraId="1CCE68D9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right="119" w:hanging="522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30.54</w:t>
            </w:r>
          </w:p>
        </w:tc>
      </w:tr>
      <w:tr w14:paraId="4772D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A8229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2F03F78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8" w:line="220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其中：中央财政资金</w:t>
            </w:r>
          </w:p>
        </w:tc>
        <w:tc>
          <w:tcPr>
            <w:tcW w:w="1005" w:type="dxa"/>
            <w:noWrap w:val="0"/>
            <w:vAlign w:val="top"/>
          </w:tcPr>
          <w:p w14:paraId="608C09D1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leftChars="0" w:right="119" w:rightChars="0" w:hanging="522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608</w:t>
            </w:r>
          </w:p>
        </w:tc>
        <w:tc>
          <w:tcPr>
            <w:tcW w:w="2145" w:type="dxa"/>
            <w:gridSpan w:val="2"/>
            <w:noWrap w:val="0"/>
            <w:vAlign w:val="top"/>
          </w:tcPr>
          <w:p w14:paraId="6A808B08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leftChars="0" w:right="119" w:rightChars="0" w:hanging="522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185.71</w:t>
            </w:r>
          </w:p>
        </w:tc>
        <w:tc>
          <w:tcPr>
            <w:tcW w:w="1650" w:type="dxa"/>
            <w:noWrap w:val="0"/>
            <w:vAlign w:val="top"/>
          </w:tcPr>
          <w:p w14:paraId="4AE304FF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leftChars="0" w:right="119" w:rightChars="0" w:hanging="522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30.54</w:t>
            </w:r>
          </w:p>
        </w:tc>
      </w:tr>
      <w:tr w14:paraId="1E5B8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6379E1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054503E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21" w:lineRule="auto"/>
              <w:ind w:firstLine="438" w:firstLineChars="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地方资金</w:t>
            </w:r>
          </w:p>
        </w:tc>
        <w:tc>
          <w:tcPr>
            <w:tcW w:w="1005" w:type="dxa"/>
            <w:noWrap w:val="0"/>
            <w:vAlign w:val="top"/>
          </w:tcPr>
          <w:p w14:paraId="3D1DAFA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45" w:type="dxa"/>
            <w:gridSpan w:val="2"/>
            <w:noWrap w:val="0"/>
            <w:vAlign w:val="top"/>
          </w:tcPr>
          <w:p w14:paraId="19D4DBD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650" w:type="dxa"/>
            <w:noWrap w:val="0"/>
            <w:vAlign w:val="top"/>
          </w:tcPr>
          <w:p w14:paraId="5620990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7FEEA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368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 w14:paraId="05B068C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21322FC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8" w:line="220" w:lineRule="auto"/>
              <w:ind w:firstLine="438" w:firstLineChars="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其他资金</w:t>
            </w:r>
          </w:p>
        </w:tc>
        <w:tc>
          <w:tcPr>
            <w:tcW w:w="1005" w:type="dxa"/>
            <w:noWrap w:val="0"/>
            <w:vAlign w:val="top"/>
          </w:tcPr>
          <w:p w14:paraId="24684C2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9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45" w:type="dxa"/>
            <w:gridSpan w:val="2"/>
            <w:noWrap w:val="0"/>
            <w:vAlign w:val="top"/>
          </w:tcPr>
          <w:p w14:paraId="1B2FF5F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9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650" w:type="dxa"/>
            <w:noWrap w:val="0"/>
            <w:vAlign w:val="top"/>
          </w:tcPr>
          <w:p w14:paraId="09E7392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9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5E4B5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restart"/>
            <w:tcBorders>
              <w:bottom w:val="nil"/>
            </w:tcBorders>
            <w:noWrap w:val="0"/>
            <w:vAlign w:val="top"/>
          </w:tcPr>
          <w:p w14:paraId="69531A3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02A6B69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0B5266A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7ECCFF4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9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资金管理情况</w:t>
            </w:r>
          </w:p>
        </w:tc>
        <w:tc>
          <w:tcPr>
            <w:tcW w:w="1410" w:type="dxa"/>
            <w:noWrap w:val="0"/>
            <w:vAlign w:val="top"/>
          </w:tcPr>
          <w:p w14:paraId="10808B1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150" w:type="dxa"/>
            <w:gridSpan w:val="3"/>
            <w:noWrap w:val="0"/>
            <w:vAlign w:val="top"/>
          </w:tcPr>
          <w:p w14:paraId="07E5482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11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5"/>
                <w:szCs w:val="15"/>
              </w:rPr>
              <w:t>情况说明</w:t>
            </w:r>
          </w:p>
        </w:tc>
        <w:tc>
          <w:tcPr>
            <w:tcW w:w="1650" w:type="dxa"/>
            <w:noWrap w:val="0"/>
            <w:vAlign w:val="top"/>
          </w:tcPr>
          <w:p w14:paraId="3699CDF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14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存在问题和改进措施</w:t>
            </w:r>
          </w:p>
        </w:tc>
      </w:tr>
      <w:tr w14:paraId="73A20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513C77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42A8B72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8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分配科学性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55D4E8C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8" w:line="219" w:lineRule="auto"/>
              <w:ind w:left="32" w:lef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分配科学</w:t>
            </w:r>
          </w:p>
        </w:tc>
        <w:tc>
          <w:tcPr>
            <w:tcW w:w="1650" w:type="dxa"/>
            <w:noWrap w:val="0"/>
            <w:vAlign w:val="top"/>
          </w:tcPr>
          <w:p w14:paraId="6278921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5F1E2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A7C12C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541F725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下达及时性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46E03D5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ind w:left="32" w:lef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下达及时</w:t>
            </w:r>
          </w:p>
        </w:tc>
        <w:tc>
          <w:tcPr>
            <w:tcW w:w="1650" w:type="dxa"/>
            <w:noWrap w:val="0"/>
            <w:vAlign w:val="top"/>
          </w:tcPr>
          <w:p w14:paraId="4346561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44927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C1CC5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4294FCD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拨付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规性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525D651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 w:lef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拨付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规</w:t>
            </w:r>
          </w:p>
        </w:tc>
        <w:tc>
          <w:tcPr>
            <w:tcW w:w="1650" w:type="dxa"/>
            <w:noWrap w:val="0"/>
            <w:vAlign w:val="top"/>
          </w:tcPr>
          <w:p w14:paraId="4890367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1EE65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AB8429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08416C3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9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使用规范性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5A2F628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9" w:line="219" w:lineRule="auto"/>
              <w:ind w:left="32" w:lef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使用规范</w:t>
            </w:r>
          </w:p>
        </w:tc>
        <w:tc>
          <w:tcPr>
            <w:tcW w:w="1650" w:type="dxa"/>
            <w:noWrap w:val="0"/>
            <w:vAlign w:val="top"/>
          </w:tcPr>
          <w:p w14:paraId="571BFEC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44C2F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EBF2DA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0B72B6D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执行准确性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5927874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 w:lef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执行准确</w:t>
            </w:r>
          </w:p>
        </w:tc>
        <w:tc>
          <w:tcPr>
            <w:tcW w:w="1650" w:type="dxa"/>
            <w:noWrap w:val="0"/>
            <w:vAlign w:val="top"/>
          </w:tcPr>
          <w:p w14:paraId="5F0FF37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6D3A5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ABBA6E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3D4BBB0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预算绩效管理情况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50AADA2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ind w:left="32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符合要求</w:t>
            </w:r>
          </w:p>
        </w:tc>
        <w:tc>
          <w:tcPr>
            <w:tcW w:w="1650" w:type="dxa"/>
            <w:noWrap w:val="0"/>
            <w:vAlign w:val="top"/>
          </w:tcPr>
          <w:p w14:paraId="155FC50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4D409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368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 w14:paraId="0B32D86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717B7AC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支出责任履行情况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10F7FC6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ind w:left="32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符合要求</w:t>
            </w:r>
          </w:p>
        </w:tc>
        <w:tc>
          <w:tcPr>
            <w:tcW w:w="1650" w:type="dxa"/>
            <w:noWrap w:val="0"/>
            <w:vAlign w:val="top"/>
          </w:tcPr>
          <w:p w14:paraId="0354201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</w:rPr>
            </w:pPr>
          </w:p>
        </w:tc>
      </w:tr>
      <w:tr w14:paraId="27AF0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93" w:type="dxa"/>
            <w:vMerge w:val="restart"/>
            <w:tcBorders>
              <w:bottom w:val="nil"/>
            </w:tcBorders>
            <w:noWrap w:val="0"/>
            <w:vAlign w:val="center"/>
          </w:tcPr>
          <w:p w14:paraId="73898CA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9" w:line="218" w:lineRule="auto"/>
              <w:ind w:left="34" w:right="3" w:firstLine="2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5"/>
                <w:szCs w:val="15"/>
              </w:rPr>
              <w:t>总体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15"/>
                <w:szCs w:val="15"/>
                <w:lang w:eastAsia="zh-CN"/>
              </w:rPr>
              <w:t>目标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5"/>
                <w:szCs w:val="15"/>
              </w:rPr>
              <w:t>完成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情况</w:t>
            </w:r>
          </w:p>
        </w:tc>
        <w:tc>
          <w:tcPr>
            <w:tcW w:w="3990" w:type="dxa"/>
            <w:gridSpan w:val="4"/>
            <w:noWrap w:val="0"/>
            <w:vAlign w:val="top"/>
          </w:tcPr>
          <w:p w14:paraId="11D0CBB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16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总体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标</w:t>
            </w:r>
          </w:p>
        </w:tc>
        <w:tc>
          <w:tcPr>
            <w:tcW w:w="3795" w:type="dxa"/>
            <w:gridSpan w:val="3"/>
            <w:noWrap w:val="0"/>
            <w:vAlign w:val="top"/>
          </w:tcPr>
          <w:p w14:paraId="4C861DF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10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全年实际完成情况</w:t>
            </w:r>
          </w:p>
        </w:tc>
      </w:tr>
      <w:tr w14:paraId="35A69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793" w:type="dxa"/>
            <w:vMerge w:val="continue"/>
            <w:tcBorders>
              <w:top w:val="nil"/>
            </w:tcBorders>
            <w:noWrap w:val="0"/>
            <w:vAlign w:val="top"/>
          </w:tcPr>
          <w:p w14:paraId="2963923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0" w:type="dxa"/>
            <w:gridSpan w:val="4"/>
            <w:noWrap w:val="0"/>
            <w:vAlign w:val="top"/>
          </w:tcPr>
          <w:p w14:paraId="1B15DCF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9" w:line="219" w:lineRule="auto"/>
              <w:ind w:left="32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新建烈士纪念馆面积约2000平方米；馆前广场：广场铺装约420平方米，纪念雕塑2座；配套设施：陵园地形整理与排水1项。。</w:t>
            </w:r>
          </w:p>
          <w:p w14:paraId="32AC85E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95" w:type="dxa"/>
            <w:gridSpan w:val="3"/>
            <w:noWrap w:val="0"/>
            <w:vAlign w:val="top"/>
          </w:tcPr>
          <w:p w14:paraId="68EF24A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项目主体施工已结束，正在进行装修等其他附属设施建设。</w:t>
            </w:r>
          </w:p>
        </w:tc>
      </w:tr>
      <w:tr w14:paraId="3FE12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93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5E7F2E8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8" w:line="217" w:lineRule="auto"/>
              <w:ind w:left="2796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绩效指标</w:t>
            </w:r>
          </w:p>
        </w:tc>
        <w:tc>
          <w:tcPr>
            <w:tcW w:w="735" w:type="dxa"/>
            <w:noWrap w:val="0"/>
            <w:vAlign w:val="center"/>
          </w:tcPr>
          <w:p w14:paraId="0FB1389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6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eastAsia="zh-CN"/>
              </w:rPr>
              <w:t>一级指标</w:t>
            </w:r>
          </w:p>
        </w:tc>
        <w:tc>
          <w:tcPr>
            <w:tcW w:w="840" w:type="dxa"/>
            <w:noWrap w:val="0"/>
            <w:vAlign w:val="center"/>
          </w:tcPr>
          <w:p w14:paraId="57265FEC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  <w:t>二级指标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619BA36D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1035" w:type="dxa"/>
            <w:noWrap w:val="0"/>
            <w:vAlign w:val="center"/>
          </w:tcPr>
          <w:p w14:paraId="5DF96985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266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指标值</w:t>
            </w:r>
          </w:p>
        </w:tc>
        <w:tc>
          <w:tcPr>
            <w:tcW w:w="1110" w:type="dxa"/>
            <w:noWrap w:val="0"/>
            <w:vAlign w:val="center"/>
          </w:tcPr>
          <w:p w14:paraId="3E01B41E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244" w:hanging="176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4"/>
                <w:szCs w:val="14"/>
              </w:rPr>
              <w:t>全年实际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14"/>
                <w:szCs w:val="14"/>
                <w:lang w:eastAsia="zh-CN"/>
              </w:rPr>
              <w:t>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4"/>
                <w:szCs w:val="14"/>
              </w:rPr>
              <w:t>成值</w:t>
            </w:r>
          </w:p>
        </w:tc>
        <w:tc>
          <w:tcPr>
            <w:tcW w:w="1650" w:type="dxa"/>
            <w:noWrap w:val="0"/>
            <w:vAlign w:val="center"/>
          </w:tcPr>
          <w:p w14:paraId="09B9E7E1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79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4"/>
                <w:szCs w:val="14"/>
                <w:lang w:eastAsia="zh-CN"/>
              </w:rPr>
              <w:t>未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4"/>
                <w:szCs w:val="14"/>
              </w:rPr>
              <w:t>完成原因和改进措施</w:t>
            </w:r>
          </w:p>
        </w:tc>
      </w:tr>
      <w:tr w14:paraId="679A2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DF782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27C44DA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840" w:type="dxa"/>
            <w:tcBorders>
              <w:bottom w:val="nil"/>
            </w:tcBorders>
            <w:noWrap w:val="0"/>
            <w:vAlign w:val="top"/>
          </w:tcPr>
          <w:p w14:paraId="3728E1F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数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2EF7CF9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项目数量</w:t>
            </w:r>
          </w:p>
        </w:tc>
        <w:tc>
          <w:tcPr>
            <w:tcW w:w="1035" w:type="dxa"/>
            <w:noWrap w:val="0"/>
            <w:vAlign w:val="center"/>
          </w:tcPr>
          <w:p w14:paraId="0CF1FFA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 w14:paraId="6DC5E32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650" w:type="dxa"/>
            <w:noWrap w:val="0"/>
            <w:vAlign w:val="top"/>
          </w:tcPr>
          <w:p w14:paraId="08A3D10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9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6"/>
                <w:szCs w:val="21"/>
              </w:rPr>
            </w:pPr>
          </w:p>
        </w:tc>
      </w:tr>
      <w:tr w14:paraId="7726E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3F1E6D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C93B39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nil"/>
            </w:tcBorders>
            <w:noWrap w:val="0"/>
            <w:vAlign w:val="top"/>
          </w:tcPr>
          <w:p w14:paraId="353892E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11" w:line="220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2FEAAE8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建设项目验收合格率</w:t>
            </w:r>
          </w:p>
        </w:tc>
        <w:tc>
          <w:tcPr>
            <w:tcW w:w="1035" w:type="dxa"/>
            <w:noWrap w:val="0"/>
            <w:vAlign w:val="center"/>
          </w:tcPr>
          <w:p w14:paraId="026F7E7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100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1110" w:type="dxa"/>
            <w:noWrap w:val="0"/>
            <w:vAlign w:val="center"/>
          </w:tcPr>
          <w:p w14:paraId="775507A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noWrap w:val="0"/>
            <w:vAlign w:val="top"/>
          </w:tcPr>
          <w:p w14:paraId="39EE9C0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5"/>
                <w:szCs w:val="21"/>
              </w:rPr>
            </w:pPr>
          </w:p>
        </w:tc>
      </w:tr>
      <w:tr w14:paraId="7B7C1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9F0730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34D3C7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nil"/>
            </w:tcBorders>
            <w:noWrap w:val="0"/>
            <w:vAlign w:val="top"/>
          </w:tcPr>
          <w:p w14:paraId="789AB05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20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70222D1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新建设施达到当地抗震设防要求</w:t>
            </w:r>
          </w:p>
        </w:tc>
        <w:tc>
          <w:tcPr>
            <w:tcW w:w="1035" w:type="dxa"/>
            <w:noWrap w:val="0"/>
            <w:vAlign w:val="center"/>
          </w:tcPr>
          <w:p w14:paraId="319BCEA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100%</w:t>
            </w:r>
          </w:p>
        </w:tc>
        <w:tc>
          <w:tcPr>
            <w:tcW w:w="1110" w:type="dxa"/>
            <w:noWrap w:val="0"/>
            <w:vAlign w:val="center"/>
          </w:tcPr>
          <w:p w14:paraId="57E63FD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noWrap w:val="0"/>
            <w:vAlign w:val="top"/>
          </w:tcPr>
          <w:p w14:paraId="0C4041B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9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6"/>
                <w:szCs w:val="21"/>
              </w:rPr>
            </w:pPr>
          </w:p>
        </w:tc>
      </w:tr>
      <w:tr w14:paraId="763E7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D92C8F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9F0802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  <w:t>效益指标</w:t>
            </w:r>
          </w:p>
        </w:tc>
        <w:tc>
          <w:tcPr>
            <w:tcW w:w="840" w:type="dxa"/>
            <w:tcBorders>
              <w:bottom w:val="nil"/>
            </w:tcBorders>
            <w:noWrap w:val="0"/>
            <w:vAlign w:val="center"/>
          </w:tcPr>
          <w:p w14:paraId="0E78300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  <w:t>社会效益指标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08EF960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养老托育服务基础设施条件</w:t>
            </w:r>
          </w:p>
        </w:tc>
        <w:tc>
          <w:tcPr>
            <w:tcW w:w="1035" w:type="dxa"/>
            <w:noWrap w:val="0"/>
            <w:vAlign w:val="center"/>
          </w:tcPr>
          <w:p w14:paraId="3BFB139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  <w:t>明显</w:t>
            </w:r>
          </w:p>
        </w:tc>
        <w:tc>
          <w:tcPr>
            <w:tcW w:w="1110" w:type="dxa"/>
            <w:noWrap w:val="0"/>
            <w:vAlign w:val="center"/>
          </w:tcPr>
          <w:p w14:paraId="5CF2419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noWrap w:val="0"/>
            <w:vAlign w:val="top"/>
          </w:tcPr>
          <w:p w14:paraId="4DE1452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9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6"/>
                <w:szCs w:val="21"/>
              </w:rPr>
            </w:pPr>
          </w:p>
        </w:tc>
      </w:tr>
      <w:tr w14:paraId="42AD1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B55088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restart"/>
            <w:noWrap w:val="0"/>
            <w:textDirection w:val="tbRlV"/>
            <w:vAlign w:val="center"/>
          </w:tcPr>
          <w:p w14:paraId="120CCE5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过程管理指标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 w14:paraId="4559E61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计划管理指标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61B6B0B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投资计划分解（转发）用时</w:t>
            </w:r>
          </w:p>
        </w:tc>
        <w:tc>
          <w:tcPr>
            <w:tcW w:w="1035" w:type="dxa"/>
            <w:noWrap w:val="0"/>
            <w:vAlign w:val="center"/>
          </w:tcPr>
          <w:p w14:paraId="65E115E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≤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个工作日</w:t>
            </w:r>
          </w:p>
        </w:tc>
        <w:tc>
          <w:tcPr>
            <w:tcW w:w="1110" w:type="dxa"/>
            <w:noWrap w:val="0"/>
            <w:vAlign w:val="center"/>
          </w:tcPr>
          <w:p w14:paraId="2CFF54E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vMerge w:val="restart"/>
            <w:noWrap w:val="0"/>
            <w:vAlign w:val="top"/>
          </w:tcPr>
          <w:p w14:paraId="38C666F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5"/>
                <w:szCs w:val="21"/>
              </w:rPr>
            </w:pPr>
          </w:p>
        </w:tc>
      </w:tr>
      <w:tr w14:paraId="4986D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93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4D0B955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</w:pPr>
          </w:p>
        </w:tc>
        <w:tc>
          <w:tcPr>
            <w:tcW w:w="735" w:type="dxa"/>
            <w:vMerge w:val="continue"/>
            <w:tcBorders>
              <w:bottom w:val="nil"/>
            </w:tcBorders>
            <w:noWrap w:val="0"/>
            <w:textDirection w:val="tbRlV"/>
            <w:vAlign w:val="center"/>
          </w:tcPr>
          <w:p w14:paraId="5B0CDE3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</w:pPr>
          </w:p>
        </w:tc>
        <w:tc>
          <w:tcPr>
            <w:tcW w:w="840" w:type="dxa"/>
            <w:vMerge w:val="continue"/>
            <w:tcBorders>
              <w:bottom w:val="nil"/>
            </w:tcBorders>
            <w:noWrap w:val="0"/>
            <w:vAlign w:val="center"/>
          </w:tcPr>
          <w:p w14:paraId="0B2DC9F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</w:p>
        </w:tc>
        <w:tc>
          <w:tcPr>
            <w:tcW w:w="2415" w:type="dxa"/>
            <w:gridSpan w:val="2"/>
            <w:noWrap w:val="0"/>
            <w:vAlign w:val="center"/>
          </w:tcPr>
          <w:p w14:paraId="18DA5D6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“两个责任”按项目落实到位率</w:t>
            </w:r>
          </w:p>
        </w:tc>
        <w:tc>
          <w:tcPr>
            <w:tcW w:w="1035" w:type="dxa"/>
            <w:noWrap w:val="0"/>
            <w:vAlign w:val="center"/>
          </w:tcPr>
          <w:p w14:paraId="4A0B249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100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55FF40B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vMerge w:val="continue"/>
            <w:shd w:val="clear" w:color="auto" w:fill="auto"/>
            <w:noWrap w:val="0"/>
            <w:vAlign w:val="top"/>
          </w:tcPr>
          <w:p w14:paraId="1837DA0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5"/>
                <w:szCs w:val="21"/>
                <w:lang w:val="en-US" w:eastAsia="zh-CN" w:bidi="ar-SA"/>
              </w:rPr>
            </w:pPr>
          </w:p>
        </w:tc>
      </w:tr>
      <w:tr w14:paraId="7AD6E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72E006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1041A5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restart"/>
            <w:noWrap w:val="0"/>
            <w:vAlign w:val="center"/>
          </w:tcPr>
          <w:p w14:paraId="0862C90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资金管理指标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61DFBD3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中央预算内投资支付率</w:t>
            </w:r>
          </w:p>
        </w:tc>
        <w:tc>
          <w:tcPr>
            <w:tcW w:w="1035" w:type="dxa"/>
            <w:noWrap w:val="0"/>
            <w:vAlign w:val="center"/>
          </w:tcPr>
          <w:p w14:paraId="589D449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≥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65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1110" w:type="dxa"/>
            <w:noWrap w:val="0"/>
            <w:vAlign w:val="center"/>
          </w:tcPr>
          <w:p w14:paraId="53F5976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vMerge w:val="restart"/>
            <w:noWrap w:val="0"/>
            <w:vAlign w:val="top"/>
          </w:tcPr>
          <w:p w14:paraId="4F53F89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5"/>
                <w:szCs w:val="21"/>
              </w:rPr>
            </w:pPr>
          </w:p>
        </w:tc>
      </w:tr>
      <w:tr w14:paraId="0BDB3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93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485AA3B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</w:pPr>
          </w:p>
        </w:tc>
        <w:tc>
          <w:tcPr>
            <w:tcW w:w="735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2838A64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</w:pPr>
          </w:p>
        </w:tc>
        <w:tc>
          <w:tcPr>
            <w:tcW w:w="840" w:type="dxa"/>
            <w:vMerge w:val="continue"/>
            <w:tcBorders>
              <w:bottom w:val="nil"/>
            </w:tcBorders>
            <w:noWrap w:val="0"/>
            <w:vAlign w:val="center"/>
          </w:tcPr>
          <w:p w14:paraId="426C6DF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</w:p>
        </w:tc>
        <w:tc>
          <w:tcPr>
            <w:tcW w:w="2415" w:type="dxa"/>
            <w:gridSpan w:val="2"/>
            <w:noWrap w:val="0"/>
            <w:vAlign w:val="center"/>
          </w:tcPr>
          <w:p w14:paraId="1AAA4BB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年度计划投资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完成率</w:t>
            </w:r>
          </w:p>
        </w:tc>
        <w:tc>
          <w:tcPr>
            <w:tcW w:w="1035" w:type="dxa"/>
            <w:noWrap w:val="0"/>
            <w:vAlign w:val="center"/>
          </w:tcPr>
          <w:p w14:paraId="2E7BEF1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≥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80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753C508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vMerge w:val="continue"/>
            <w:shd w:val="clear" w:color="auto" w:fill="auto"/>
            <w:noWrap w:val="0"/>
            <w:vAlign w:val="top"/>
          </w:tcPr>
          <w:p w14:paraId="3AC6779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5"/>
                <w:szCs w:val="21"/>
                <w:lang w:val="en-US" w:eastAsia="zh-CN" w:bidi="ar-SA"/>
              </w:rPr>
            </w:pPr>
          </w:p>
        </w:tc>
      </w:tr>
      <w:tr w14:paraId="4CDD5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FE9584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570C6A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restart"/>
            <w:noWrap w:val="0"/>
            <w:vAlign w:val="center"/>
          </w:tcPr>
          <w:p w14:paraId="491D7EC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项目管理指标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7CD9794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项目开工率</w:t>
            </w:r>
          </w:p>
        </w:tc>
        <w:tc>
          <w:tcPr>
            <w:tcW w:w="1035" w:type="dxa"/>
            <w:noWrap w:val="0"/>
            <w:vAlign w:val="center"/>
          </w:tcPr>
          <w:p w14:paraId="03C35C6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100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1110" w:type="dxa"/>
            <w:noWrap w:val="0"/>
            <w:vAlign w:val="center"/>
          </w:tcPr>
          <w:p w14:paraId="0F0DCC2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vMerge w:val="restart"/>
            <w:noWrap w:val="0"/>
            <w:vAlign w:val="top"/>
          </w:tcPr>
          <w:p w14:paraId="341DA02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7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4"/>
                <w:szCs w:val="21"/>
              </w:rPr>
            </w:pPr>
          </w:p>
        </w:tc>
      </w:tr>
      <w:tr w14:paraId="1F770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3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494F349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</w:pPr>
          </w:p>
        </w:tc>
        <w:tc>
          <w:tcPr>
            <w:tcW w:w="735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0B167D3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</w:pPr>
          </w:p>
        </w:tc>
        <w:tc>
          <w:tcPr>
            <w:tcW w:w="840" w:type="dxa"/>
            <w:vMerge w:val="continue"/>
            <w:tcBorders>
              <w:bottom w:val="nil"/>
            </w:tcBorders>
            <w:noWrap w:val="0"/>
            <w:vAlign w:val="center"/>
          </w:tcPr>
          <w:p w14:paraId="1A9D020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</w:p>
        </w:tc>
        <w:tc>
          <w:tcPr>
            <w:tcW w:w="2415" w:type="dxa"/>
            <w:gridSpan w:val="2"/>
            <w:noWrap w:val="0"/>
            <w:vAlign w:val="center"/>
          </w:tcPr>
          <w:p w14:paraId="32ECCC2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超规模、超标准、超概算项目比例</w:t>
            </w:r>
          </w:p>
        </w:tc>
        <w:tc>
          <w:tcPr>
            <w:tcW w:w="1035" w:type="dxa"/>
            <w:noWrap w:val="0"/>
            <w:vAlign w:val="center"/>
          </w:tcPr>
          <w:p w14:paraId="5896DD4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≤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10%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1969C70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vMerge w:val="continue"/>
            <w:shd w:val="clear" w:color="auto" w:fill="auto"/>
            <w:noWrap w:val="0"/>
            <w:vAlign w:val="top"/>
          </w:tcPr>
          <w:p w14:paraId="07D3878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5"/>
                <w:szCs w:val="21"/>
                <w:lang w:val="en-US" w:eastAsia="zh-CN" w:bidi="ar-SA"/>
              </w:rPr>
            </w:pPr>
          </w:p>
        </w:tc>
      </w:tr>
      <w:tr w14:paraId="0B565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269971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87C22D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nil"/>
            </w:tcBorders>
            <w:noWrap w:val="0"/>
            <w:vAlign w:val="center"/>
          </w:tcPr>
          <w:p w14:paraId="4DDD6B0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监督检查指标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4DA7375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审计、督查、巡视等指出问题项目比例</w:t>
            </w:r>
          </w:p>
        </w:tc>
        <w:tc>
          <w:tcPr>
            <w:tcW w:w="1035" w:type="dxa"/>
            <w:noWrap w:val="0"/>
            <w:vAlign w:val="center"/>
          </w:tcPr>
          <w:p w14:paraId="3ABC5AE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≤1%</w:t>
            </w:r>
          </w:p>
        </w:tc>
        <w:tc>
          <w:tcPr>
            <w:tcW w:w="1110" w:type="dxa"/>
            <w:noWrap w:val="0"/>
            <w:vAlign w:val="center"/>
          </w:tcPr>
          <w:p w14:paraId="68A68F5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noWrap w:val="0"/>
            <w:vAlign w:val="top"/>
          </w:tcPr>
          <w:p w14:paraId="46CD531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8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6"/>
                <w:szCs w:val="21"/>
              </w:rPr>
            </w:pPr>
          </w:p>
        </w:tc>
      </w:tr>
      <w:tr w14:paraId="5BF2B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793" w:type="dxa"/>
            <w:noWrap w:val="0"/>
            <w:vAlign w:val="top"/>
          </w:tcPr>
          <w:p w14:paraId="161488A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65" w:line="223" w:lineRule="auto"/>
              <w:ind w:left="54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14"/>
                <w:szCs w:val="14"/>
              </w:rPr>
              <w:t>说明</w:t>
            </w:r>
          </w:p>
        </w:tc>
        <w:tc>
          <w:tcPr>
            <w:tcW w:w="7785" w:type="dxa"/>
            <w:gridSpan w:val="7"/>
            <w:noWrap w:val="0"/>
            <w:vAlign w:val="top"/>
          </w:tcPr>
          <w:p w14:paraId="7544C61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5" w:line="219" w:lineRule="auto"/>
              <w:ind w:left="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  <w:t>无</w:t>
            </w:r>
          </w:p>
        </w:tc>
      </w:tr>
    </w:tbl>
    <w:p w14:paraId="65113046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line="50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  <w:bookmarkStart w:id="0" w:name="_GoBack"/>
      <w:bookmarkEnd w:id="0"/>
    </w:p>
    <w:p w14:paraId="32F6889E">
      <w:pPr>
        <w:keepNext w:val="0"/>
        <w:keepLines w:val="0"/>
        <w:pageBreakBefore w:val="0"/>
        <w:widowControl/>
        <w:suppressAutoHyphens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219" w:lineRule="auto"/>
        <w:ind w:left="272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</w:pPr>
      <w:r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注：1.资金使用单位按项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目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绩效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目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标填报，主管部门汇总时按区域绩效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目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标填报。</w:t>
      </w:r>
    </w:p>
    <w:p w14:paraId="00CB22E8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before="11" w:line="219" w:lineRule="auto"/>
        <w:ind w:left="272" w:firstLine="308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2.其他资金包括与中央财政资金、地方财政资金共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同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投入到同一项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目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的自有资金、社会资金，以及以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前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年度的结转结余资金等。</w:t>
      </w:r>
    </w:p>
    <w:p w14:paraId="574D7501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before="11" w:line="219" w:lineRule="auto"/>
        <w:ind w:left="272" w:firstLine="308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15"/>
          <w:szCs w:val="15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3.全年执行数是指按照国库集中支付制度要求所形成的实际支出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。</w:t>
      </w:r>
    </w:p>
    <w:p w14:paraId="73D318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42698"/>
    <w:rsid w:val="073A2EB9"/>
    <w:rsid w:val="15604521"/>
    <w:rsid w:val="18C81A52"/>
    <w:rsid w:val="288B7D93"/>
    <w:rsid w:val="290A4385"/>
    <w:rsid w:val="2A2D2869"/>
    <w:rsid w:val="2A455DA5"/>
    <w:rsid w:val="2EE05EDF"/>
    <w:rsid w:val="4475020A"/>
    <w:rsid w:val="4BBD566C"/>
    <w:rsid w:val="4CBE77A4"/>
    <w:rsid w:val="4D422183"/>
    <w:rsid w:val="4FBA2145"/>
    <w:rsid w:val="6D267E2D"/>
    <w:rsid w:val="73542698"/>
    <w:rsid w:val="7BDF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360" w:lineRule="auto"/>
      <w:ind w:firstLine="0" w:firstLineChars="0"/>
      <w:jc w:val="center"/>
    </w:pPr>
    <w:rPr>
      <w:b/>
      <w:bCs/>
      <w:sz w:val="36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767</Words>
  <Characters>813</Characters>
  <Lines>0</Lines>
  <Paragraphs>0</Paragraphs>
  <TotalTime>0</TotalTime>
  <ScaleCrop>false</ScaleCrop>
  <LinksUpToDate>false</LinksUpToDate>
  <CharactersWithSpaces>815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2025-03-03T02:05:00Z</dcterms:created>
  <dc:creator>申胜男</dc:creator>
  <cp:lastModifiedBy>WPS_1606384971</cp:lastModifiedBy>
  <dcterms:modified xsi:type="dcterms:W3CDTF">2025-04-28T00:20:35Z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AE069AEAA5D5479A83A8D1B8B6916EE9_13</vt:lpwstr>
  </property>
  <property fmtid="{D5CDD505-2E9C-101B-9397-08002B2CF9AE}" pid="4" name="KSOTemplateDocerSaveRecord">
    <vt:lpwstr>eyJoZGlkIjoiY2UxY2E2OTJkZmQ4NGU2ODQwY2Q5MmZkZDE0NDI5YWQiLCJ1c2VySWQiOiIxMTQ3MDk2NjM2In0=</vt:lpwstr>
  </property>
</Properties>
</file>