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280CB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4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3"/>
          <w:szCs w:val="23"/>
        </w:rPr>
      </w:pPr>
      <w:r>
        <w:rPr>
          <w:rFonts w:ascii="黑体" w:hAnsi="黑体" w:eastAsia="黑体" w:cs="黑体"/>
          <w:snapToGrid w:val="0"/>
          <w:color w:val="000000"/>
          <w:spacing w:val="-14"/>
          <w:kern w:val="0"/>
          <w:sz w:val="23"/>
          <w:szCs w:val="23"/>
        </w:rPr>
        <w:t>附件2</w:t>
      </w:r>
    </w:p>
    <w:p w14:paraId="598012FD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64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24"/>
          <w:szCs w:val="24"/>
        </w:rPr>
        <w:t>砀山县桃源居公办托育综合服务中心建设项目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转移支付区域(项目)绩效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  <w:lang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标自评表</w:t>
      </w:r>
    </w:p>
    <w:p w14:paraId="37F6DB27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7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6"/>
          <w:szCs w:val="16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(</w:t>
      </w:r>
      <w:r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16"/>
          <w:szCs w:val="16"/>
          <w:lang w:val="en-US"/>
        </w:rPr>
        <w:t>2024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年度)</w:t>
      </w:r>
    </w:p>
    <w:tbl>
      <w:tblPr>
        <w:tblStyle w:val="5"/>
        <w:tblpPr w:leftFromText="180" w:rightFromText="180" w:vertAnchor="text" w:horzAnchor="page" w:tblpX="1819" w:tblpY="44"/>
        <w:tblOverlap w:val="never"/>
        <w:tblW w:w="85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735"/>
        <w:gridCol w:w="840"/>
        <w:gridCol w:w="1410"/>
        <w:gridCol w:w="1005"/>
        <w:gridCol w:w="1035"/>
        <w:gridCol w:w="1110"/>
        <w:gridCol w:w="1650"/>
      </w:tblGrid>
      <w:tr w14:paraId="3D9EC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368" w:type="dxa"/>
            <w:gridSpan w:val="3"/>
            <w:noWrap w:val="0"/>
            <w:vAlign w:val="center"/>
          </w:tcPr>
          <w:p w14:paraId="659FD594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转移支付(项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)名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称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49AE39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砀山县桃源居公办托育综合服务中心建设项目</w:t>
            </w:r>
          </w:p>
        </w:tc>
      </w:tr>
      <w:tr w14:paraId="77CA0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noWrap w:val="0"/>
            <w:vAlign w:val="top"/>
          </w:tcPr>
          <w:p w14:paraId="6DBDD0F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7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中央主管部门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2F68922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756F7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noWrap w:val="0"/>
            <w:vAlign w:val="top"/>
          </w:tcPr>
          <w:p w14:paraId="29A65EA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56" w:line="213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地方主管部门</w:t>
            </w:r>
          </w:p>
        </w:tc>
        <w:tc>
          <w:tcPr>
            <w:tcW w:w="2415" w:type="dxa"/>
            <w:gridSpan w:val="2"/>
            <w:noWrap w:val="0"/>
            <w:vAlign w:val="top"/>
          </w:tcPr>
          <w:p w14:paraId="0B8B2A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  <w:t>砀山县卫生和健康委员会</w:t>
            </w:r>
          </w:p>
        </w:tc>
        <w:tc>
          <w:tcPr>
            <w:tcW w:w="1035" w:type="dxa"/>
            <w:noWrap w:val="0"/>
            <w:vAlign w:val="top"/>
          </w:tcPr>
          <w:p w14:paraId="7F2D70B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56" w:line="213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资金使用单位</w:t>
            </w:r>
          </w:p>
        </w:tc>
        <w:tc>
          <w:tcPr>
            <w:tcW w:w="2760" w:type="dxa"/>
            <w:gridSpan w:val="2"/>
            <w:noWrap w:val="0"/>
            <w:vAlign w:val="top"/>
          </w:tcPr>
          <w:p w14:paraId="33D0454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  <w:t>砀山县卫生和健康委员会</w:t>
            </w:r>
          </w:p>
        </w:tc>
      </w:tr>
      <w:tr w14:paraId="56973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769CBCF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资金投入情况</w:t>
            </w:r>
          </w:p>
          <w:p w14:paraId="52D0BE6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5"/>
                <w:szCs w:val="15"/>
              </w:rPr>
              <w:t>(万元)</w:t>
            </w:r>
          </w:p>
        </w:tc>
        <w:tc>
          <w:tcPr>
            <w:tcW w:w="1410" w:type="dxa"/>
            <w:noWrap w:val="0"/>
            <w:vAlign w:val="top"/>
          </w:tcPr>
          <w:p w14:paraId="64E4F17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 w14:paraId="78E5B10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07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</w:rPr>
              <w:t>全年预算数(A)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 w14:paraId="5E3CB08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</w:rPr>
              <w:t>全年执行数(B)</w:t>
            </w:r>
          </w:p>
        </w:tc>
        <w:tc>
          <w:tcPr>
            <w:tcW w:w="1650" w:type="dxa"/>
            <w:noWrap w:val="0"/>
            <w:vAlign w:val="center"/>
          </w:tcPr>
          <w:p w14:paraId="308585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6" w:line="20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预算执行率</w:t>
            </w:r>
          </w:p>
          <w:p w14:paraId="783923B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7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(B/A×100%)</w:t>
            </w:r>
          </w:p>
        </w:tc>
      </w:tr>
      <w:tr w14:paraId="3CE20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C07D9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1CEAE3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1005" w:type="dxa"/>
            <w:noWrap w:val="0"/>
            <w:vAlign w:val="top"/>
          </w:tcPr>
          <w:p w14:paraId="4B6AB1A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1292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4400D46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650" w:type="dxa"/>
            <w:noWrap w:val="0"/>
            <w:vAlign w:val="top"/>
          </w:tcPr>
          <w:p w14:paraId="1CCE68D9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4772D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A822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F03F78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2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其中：中央财政资金</w:t>
            </w:r>
          </w:p>
        </w:tc>
        <w:tc>
          <w:tcPr>
            <w:tcW w:w="1005" w:type="dxa"/>
            <w:noWrap w:val="0"/>
            <w:vAlign w:val="top"/>
          </w:tcPr>
          <w:p w14:paraId="608C09D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1292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6A808B0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650" w:type="dxa"/>
            <w:noWrap w:val="0"/>
            <w:vAlign w:val="top"/>
          </w:tcPr>
          <w:p w14:paraId="4AE304FF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1E5B8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379E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54503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21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地方资金</w:t>
            </w:r>
          </w:p>
        </w:tc>
        <w:tc>
          <w:tcPr>
            <w:tcW w:w="1005" w:type="dxa"/>
            <w:noWrap w:val="0"/>
            <w:vAlign w:val="top"/>
          </w:tcPr>
          <w:p w14:paraId="3D1DAFA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9D4DB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5620990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7FEEA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5B068C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1322FC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其他资金</w:t>
            </w:r>
          </w:p>
        </w:tc>
        <w:tc>
          <w:tcPr>
            <w:tcW w:w="1005" w:type="dxa"/>
            <w:noWrap w:val="0"/>
            <w:vAlign w:val="top"/>
          </w:tcPr>
          <w:p w14:paraId="24684C2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B2FF5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09E7392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E4B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69531A3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2A6B6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B5266A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7ECCFF4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资金管理情况</w:t>
            </w:r>
          </w:p>
        </w:tc>
        <w:tc>
          <w:tcPr>
            <w:tcW w:w="1410" w:type="dxa"/>
            <w:noWrap w:val="0"/>
            <w:vAlign w:val="top"/>
          </w:tcPr>
          <w:p w14:paraId="10808B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07E5482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1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</w:rPr>
              <w:t>情况说明</w:t>
            </w:r>
          </w:p>
        </w:tc>
        <w:tc>
          <w:tcPr>
            <w:tcW w:w="1650" w:type="dxa"/>
            <w:noWrap w:val="0"/>
            <w:vAlign w:val="top"/>
          </w:tcPr>
          <w:p w14:paraId="3699CD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存在问题和改进措施</w:t>
            </w:r>
          </w:p>
        </w:tc>
      </w:tr>
      <w:tr w14:paraId="73A20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13C77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A8B7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5D4E8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</w:t>
            </w:r>
          </w:p>
        </w:tc>
        <w:tc>
          <w:tcPr>
            <w:tcW w:w="1650" w:type="dxa"/>
            <w:noWrap w:val="0"/>
            <w:vAlign w:val="top"/>
          </w:tcPr>
          <w:p w14:paraId="6278921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F1E2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7C12C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41F725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46E03D5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</w:t>
            </w:r>
          </w:p>
        </w:tc>
        <w:tc>
          <w:tcPr>
            <w:tcW w:w="1650" w:type="dxa"/>
            <w:noWrap w:val="0"/>
            <w:vAlign w:val="top"/>
          </w:tcPr>
          <w:p w14:paraId="434656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927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C1CC5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94FC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25D65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</w:t>
            </w:r>
          </w:p>
        </w:tc>
        <w:tc>
          <w:tcPr>
            <w:tcW w:w="1650" w:type="dxa"/>
            <w:noWrap w:val="0"/>
            <w:vAlign w:val="top"/>
          </w:tcPr>
          <w:p w14:paraId="4890367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1EE65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B842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8416C3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A2F628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</w:t>
            </w:r>
          </w:p>
        </w:tc>
        <w:tc>
          <w:tcPr>
            <w:tcW w:w="1650" w:type="dxa"/>
            <w:noWrap w:val="0"/>
            <w:vAlign w:val="top"/>
          </w:tcPr>
          <w:p w14:paraId="571BFE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C2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BF2DA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B72B6D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927874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</w:t>
            </w:r>
          </w:p>
        </w:tc>
        <w:tc>
          <w:tcPr>
            <w:tcW w:w="1650" w:type="dxa"/>
            <w:noWrap w:val="0"/>
            <w:vAlign w:val="top"/>
          </w:tcPr>
          <w:p w14:paraId="5F0FF37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6D3A5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BBA6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3D4BBB0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预算绩效管理情况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0AADA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155FC50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D409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B32D86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717B7AC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支出责任履行情况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10F7FC6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0354201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</w:rPr>
            </w:pPr>
          </w:p>
        </w:tc>
      </w:tr>
      <w:tr w14:paraId="27AF0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vAlign w:val="center"/>
          </w:tcPr>
          <w:p w14:paraId="73898CA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9" w:line="218" w:lineRule="auto"/>
              <w:ind w:left="34" w:right="3" w:firstLine="2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5"/>
                <w:szCs w:val="15"/>
              </w:rPr>
              <w:t>完成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情况</w:t>
            </w:r>
          </w:p>
        </w:tc>
        <w:tc>
          <w:tcPr>
            <w:tcW w:w="3990" w:type="dxa"/>
            <w:gridSpan w:val="4"/>
            <w:noWrap w:val="0"/>
            <w:vAlign w:val="top"/>
          </w:tcPr>
          <w:p w14:paraId="11D0CBB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6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标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4C861DF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0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全年实际完成情况</w:t>
            </w:r>
          </w:p>
        </w:tc>
      </w:tr>
      <w:tr w14:paraId="35A69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93" w:type="dxa"/>
            <w:vMerge w:val="continue"/>
            <w:tcBorders>
              <w:top w:val="nil"/>
            </w:tcBorders>
            <w:noWrap w:val="0"/>
            <w:vAlign w:val="top"/>
          </w:tcPr>
          <w:p w14:paraId="2963923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gridSpan w:val="4"/>
            <w:noWrap w:val="0"/>
            <w:vAlign w:val="top"/>
          </w:tcPr>
          <w:p w14:paraId="04E9904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总建筑面积约3300平方米，新增150个托位。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584A14B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已完成立项、能评、土地证等前期手续，正在主体建设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.</w:t>
            </w:r>
          </w:p>
        </w:tc>
      </w:tr>
      <w:tr w14:paraId="3FE12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E7F2E8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8" w:line="217" w:lineRule="auto"/>
              <w:ind w:left="279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735" w:type="dxa"/>
            <w:noWrap w:val="0"/>
            <w:vAlign w:val="center"/>
          </w:tcPr>
          <w:p w14:paraId="0FB138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  <w:t>一级指标</w:t>
            </w:r>
          </w:p>
        </w:tc>
        <w:tc>
          <w:tcPr>
            <w:tcW w:w="840" w:type="dxa"/>
            <w:noWrap w:val="0"/>
            <w:vAlign w:val="center"/>
          </w:tcPr>
          <w:p w14:paraId="57265FEC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二级指标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9BA36D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035" w:type="dxa"/>
            <w:noWrap w:val="0"/>
            <w:vAlign w:val="center"/>
          </w:tcPr>
          <w:p w14:paraId="5DF96985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6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指标值</w:t>
            </w:r>
          </w:p>
        </w:tc>
        <w:tc>
          <w:tcPr>
            <w:tcW w:w="1110" w:type="dxa"/>
            <w:noWrap w:val="0"/>
            <w:vAlign w:val="center"/>
          </w:tcPr>
          <w:p w14:paraId="3E01B41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244" w:hanging="17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</w:rPr>
              <w:t>全年实际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  <w:lang w:eastAsia="zh-CN"/>
              </w:rPr>
              <w:t>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4"/>
                <w:szCs w:val="14"/>
              </w:rPr>
              <w:t>成值</w:t>
            </w:r>
          </w:p>
        </w:tc>
        <w:tc>
          <w:tcPr>
            <w:tcW w:w="1650" w:type="dxa"/>
            <w:noWrap w:val="0"/>
            <w:vAlign w:val="center"/>
          </w:tcPr>
          <w:p w14:paraId="09B9E7E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7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  <w:lang w:eastAsia="zh-CN"/>
              </w:rPr>
              <w:t>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</w:rPr>
              <w:t>完成原因和改进措施</w:t>
            </w:r>
          </w:p>
        </w:tc>
      </w:tr>
      <w:tr w14:paraId="679A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DF782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7C44D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3728E1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EF7CF9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项目数量</w:t>
            </w:r>
          </w:p>
        </w:tc>
        <w:tc>
          <w:tcPr>
            <w:tcW w:w="1035" w:type="dxa"/>
            <w:noWrap w:val="0"/>
            <w:vAlign w:val="center"/>
          </w:tcPr>
          <w:p w14:paraId="0CF1FF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6DC5E32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650" w:type="dxa"/>
            <w:noWrap w:val="0"/>
            <w:vAlign w:val="top"/>
          </w:tcPr>
          <w:p w14:paraId="08A3D10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7726E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F1E6D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93B39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353892E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11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FEAAE8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建设项目验收合格率</w:t>
            </w:r>
          </w:p>
        </w:tc>
        <w:tc>
          <w:tcPr>
            <w:tcW w:w="1035" w:type="dxa"/>
            <w:noWrap w:val="0"/>
            <w:vAlign w:val="center"/>
          </w:tcPr>
          <w:p w14:paraId="026F7E7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775507A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39EE9C0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7B7C1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F0730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4D3C7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789AB05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70222D1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新建设施达到当地抗震设防要求</w:t>
            </w:r>
          </w:p>
        </w:tc>
        <w:tc>
          <w:tcPr>
            <w:tcW w:w="1035" w:type="dxa"/>
            <w:noWrap w:val="0"/>
            <w:vAlign w:val="center"/>
          </w:tcPr>
          <w:p w14:paraId="319BCEA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1110" w:type="dxa"/>
            <w:noWrap w:val="0"/>
            <w:vAlign w:val="center"/>
          </w:tcPr>
          <w:p w14:paraId="57E63FD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0C4041B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763E7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92C8F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F0802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效益指标</w:t>
            </w: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 w14:paraId="0E78300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社会效益指标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08EF960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养老托育服务基础设施条件</w:t>
            </w:r>
          </w:p>
        </w:tc>
        <w:tc>
          <w:tcPr>
            <w:tcW w:w="1035" w:type="dxa"/>
            <w:noWrap w:val="0"/>
            <w:vAlign w:val="center"/>
          </w:tcPr>
          <w:p w14:paraId="3BFB139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明显</w:t>
            </w:r>
          </w:p>
        </w:tc>
        <w:tc>
          <w:tcPr>
            <w:tcW w:w="1110" w:type="dxa"/>
            <w:noWrap w:val="0"/>
            <w:vAlign w:val="center"/>
          </w:tcPr>
          <w:p w14:paraId="5CF2419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4DE1452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42AD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55088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noWrap w:val="0"/>
            <w:textDirection w:val="tbRlV"/>
            <w:vAlign w:val="center"/>
          </w:tcPr>
          <w:p w14:paraId="120CCE5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过程管理指标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4559E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计划管理指标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B6B0B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投资计划分解（转发）用时</w:t>
            </w:r>
          </w:p>
        </w:tc>
        <w:tc>
          <w:tcPr>
            <w:tcW w:w="1035" w:type="dxa"/>
            <w:noWrap w:val="0"/>
            <w:vAlign w:val="center"/>
          </w:tcPr>
          <w:p w14:paraId="65E115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个工作日</w:t>
            </w:r>
          </w:p>
        </w:tc>
        <w:tc>
          <w:tcPr>
            <w:tcW w:w="1110" w:type="dxa"/>
            <w:noWrap w:val="0"/>
            <w:vAlign w:val="center"/>
          </w:tcPr>
          <w:p w14:paraId="2CFF54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38C666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4986D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D0B955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center"/>
          </w:tcPr>
          <w:p w14:paraId="5B0CDE3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0B2DC9F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18DA5D6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“两个责任”按项目落实到位率</w:t>
            </w:r>
          </w:p>
        </w:tc>
        <w:tc>
          <w:tcPr>
            <w:tcW w:w="1035" w:type="dxa"/>
            <w:noWrap w:val="0"/>
            <w:vAlign w:val="center"/>
          </w:tcPr>
          <w:p w14:paraId="4A0B249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5FF40B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1837DA0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7AD6E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2E00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041A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 w14:paraId="0862C90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DFBD3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中央预算内投资支付率</w:t>
            </w:r>
          </w:p>
        </w:tc>
        <w:tc>
          <w:tcPr>
            <w:tcW w:w="1035" w:type="dxa"/>
            <w:noWrap w:val="0"/>
            <w:vAlign w:val="center"/>
          </w:tcPr>
          <w:p w14:paraId="589D449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65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53F597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4F53F8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0BDB3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85AA3B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2838A64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426C6DF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1AAA4BB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年度计划投资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完成率</w:t>
            </w:r>
          </w:p>
        </w:tc>
        <w:tc>
          <w:tcPr>
            <w:tcW w:w="1035" w:type="dxa"/>
            <w:noWrap w:val="0"/>
            <w:vAlign w:val="center"/>
          </w:tcPr>
          <w:p w14:paraId="2E7BEF1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80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53C508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3AC677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4CDD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E958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70C6A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 w14:paraId="491D7EC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项目管理指标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7CD9794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项目开工率</w:t>
            </w:r>
          </w:p>
        </w:tc>
        <w:tc>
          <w:tcPr>
            <w:tcW w:w="1035" w:type="dxa"/>
            <w:noWrap w:val="0"/>
            <w:vAlign w:val="center"/>
          </w:tcPr>
          <w:p w14:paraId="03C35C6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0F0DCC2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341DA02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7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4"/>
                <w:szCs w:val="21"/>
              </w:rPr>
            </w:pPr>
          </w:p>
        </w:tc>
      </w:tr>
      <w:tr w14:paraId="1F770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94F349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0B167D3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1A9D020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32ECCC2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超规模、超标准、超概算项目比例</w:t>
            </w:r>
          </w:p>
        </w:tc>
        <w:tc>
          <w:tcPr>
            <w:tcW w:w="1035" w:type="dxa"/>
            <w:noWrap w:val="0"/>
            <w:vAlign w:val="center"/>
          </w:tcPr>
          <w:p w14:paraId="5896DD4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969C70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07D3878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0B565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6997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7C22D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 w14:paraId="4DDD6B0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监督检查指标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DA737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审计、督查、巡视等指出问题项目比例</w:t>
            </w:r>
          </w:p>
        </w:tc>
        <w:tc>
          <w:tcPr>
            <w:tcW w:w="1035" w:type="dxa"/>
            <w:noWrap w:val="0"/>
            <w:vAlign w:val="center"/>
          </w:tcPr>
          <w:p w14:paraId="3ABC5AE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≤1%</w:t>
            </w:r>
          </w:p>
        </w:tc>
        <w:tc>
          <w:tcPr>
            <w:tcW w:w="1110" w:type="dxa"/>
            <w:noWrap w:val="0"/>
            <w:vAlign w:val="center"/>
          </w:tcPr>
          <w:p w14:paraId="68A68F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46CD531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8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5BF2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93" w:type="dxa"/>
            <w:noWrap w:val="0"/>
            <w:vAlign w:val="top"/>
          </w:tcPr>
          <w:p w14:paraId="161488A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5" w:line="223" w:lineRule="auto"/>
              <w:ind w:left="5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4"/>
                <w:szCs w:val="14"/>
              </w:rPr>
              <w:t>说明</w:t>
            </w:r>
          </w:p>
        </w:tc>
        <w:tc>
          <w:tcPr>
            <w:tcW w:w="7785" w:type="dxa"/>
            <w:gridSpan w:val="7"/>
            <w:noWrap w:val="0"/>
            <w:vAlign w:val="top"/>
          </w:tcPr>
          <w:p w14:paraId="7544C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5" w:line="219" w:lineRule="auto"/>
              <w:ind w:left="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无</w:t>
            </w:r>
          </w:p>
        </w:tc>
      </w:tr>
    </w:tbl>
    <w:p w14:paraId="65113046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line="5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  <w:bookmarkStart w:id="0" w:name="_GoBack"/>
      <w:bookmarkEnd w:id="0"/>
    </w:p>
    <w:p w14:paraId="32F6889E"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19" w:lineRule="auto"/>
        <w:ind w:left="272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注：1.资金使用单位按项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标填报，主管部门汇总时按区域绩效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标填报。</w:t>
      </w:r>
    </w:p>
    <w:p w14:paraId="00CB22E8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2.其他资金包括与中央财政资金、地方财政资金共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同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投入到同一项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的自有资金、社会资金，以及以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前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年度的结转结余资金等。</w:t>
      </w:r>
    </w:p>
    <w:p w14:paraId="574D7501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3.全年执行数是指按照国库集中支付制度要求所形成的实际支出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。</w:t>
      </w:r>
    </w:p>
    <w:p w14:paraId="73D318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42698"/>
    <w:rsid w:val="073A2EB9"/>
    <w:rsid w:val="15604521"/>
    <w:rsid w:val="18C81A52"/>
    <w:rsid w:val="288B7D93"/>
    <w:rsid w:val="290A4385"/>
    <w:rsid w:val="29A4017C"/>
    <w:rsid w:val="2A455DA5"/>
    <w:rsid w:val="456D492B"/>
    <w:rsid w:val="5EA76854"/>
    <w:rsid w:val="73542698"/>
    <w:rsid w:val="7BD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60" w:lineRule="auto"/>
      <w:ind w:firstLine="0" w:firstLineChars="0"/>
      <w:jc w:val="center"/>
    </w:pPr>
    <w:rPr>
      <w:b/>
      <w:bCs/>
      <w:sz w:val="36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781</Words>
  <Characters>824</Characters>
  <Lines>0</Lines>
  <Paragraphs>0</Paragraphs>
  <TotalTime>0</TotalTime>
  <ScaleCrop>false</ScaleCrop>
  <LinksUpToDate>false</LinksUpToDate>
  <CharactersWithSpaces>826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2025-03-03T02:05:00Z</dcterms:created>
  <dc:creator>申胜男</dc:creator>
  <cp:lastModifiedBy>WPS_1606384971</cp:lastModifiedBy>
  <dcterms:modified xsi:type="dcterms:W3CDTF">2025-04-24T11:58:35Z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AE069AEAA5D5479A83A8D1B8B6916EE9_13</vt:lpwstr>
  </property>
  <property fmtid="{D5CDD505-2E9C-101B-9397-08002B2CF9AE}" pid="4" name="KSOTemplateDocerSaveRecord">
    <vt:lpwstr>eyJoZGlkIjoiY2UxY2E2OTJkZmQ4NGU2ODQwY2Q5MmZkZDE0NDI5YWQiLCJ1c2VySWQiOiIxMTQ3MDk2NjM2In0=</vt:lpwstr>
  </property>
</Properties>
</file>