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  <w:t>安徽省砀山第二中学新建体育馆项目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5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安徽省砀山第二中学新建体育馆项目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砀山县教育局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砀山县教育局</w:t>
            </w:r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6" w:line="20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4637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4637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04E990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安徽省砀山第二中学新建体育馆项目，总建筑面积约为2万平方米。计划建设内容包括体育场馆及操场建设。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84A14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已完成立项、能评、土地证等前期手续，正在基础开挖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.</w:t>
            </w:r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F7CF9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项目数量</w:t>
            </w:r>
            <w:bookmarkStart w:id="0" w:name="_GoBack"/>
            <w:bookmarkEnd w:id="0"/>
          </w:p>
        </w:tc>
        <w:tc>
          <w:tcPr>
            <w:tcW w:w="1035" w:type="dxa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6DC5E32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55088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过程管理指标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计划管理指标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B6B0B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投资计划分解（转发）用时</w:t>
            </w:r>
          </w:p>
        </w:tc>
        <w:tc>
          <w:tcPr>
            <w:tcW w:w="1035" w:type="dxa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986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D0B955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center"/>
          </w:tcPr>
          <w:p w14:paraId="5B0CDE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0B2DC9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8DA5D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“两个责任”按项目落实到位率</w:t>
            </w:r>
          </w:p>
        </w:tc>
        <w:tc>
          <w:tcPr>
            <w:tcW w:w="1035" w:type="dxa"/>
            <w:noWrap w:val="0"/>
            <w:vAlign w:val="center"/>
          </w:tcPr>
          <w:p w14:paraId="4A0B249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FF40B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1837DA0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DFBD3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中央预算内投资支付率</w:t>
            </w:r>
          </w:p>
        </w:tc>
        <w:tc>
          <w:tcPr>
            <w:tcW w:w="1035" w:type="dxa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65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0BDB3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85AA3B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2838A64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426C6D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AAA4BB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年度计划投资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35" w:type="dxa"/>
            <w:noWrap w:val="0"/>
            <w:vAlign w:val="center"/>
          </w:tcPr>
          <w:p w14:paraId="2E7BEF1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80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53C508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3AC677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CD979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项目开工率</w:t>
            </w:r>
          </w:p>
        </w:tc>
        <w:tc>
          <w:tcPr>
            <w:tcW w:w="1035" w:type="dxa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1F77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94F34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B167D3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1A9D02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32ECCC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超规模、超标准、超概算项目比例</w:t>
            </w:r>
          </w:p>
        </w:tc>
        <w:tc>
          <w:tcPr>
            <w:tcW w:w="1035" w:type="dxa"/>
            <w:noWrap w:val="0"/>
            <w:vAlign w:val="center"/>
          </w:tcPr>
          <w:p w14:paraId="5896DD4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969C70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07D3878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监督检查指标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审计、督查、巡视等指出问题项目比例</w:t>
            </w:r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≤1%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65113046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5824C61"/>
    <w:rsid w:val="073A2EB9"/>
    <w:rsid w:val="0F595094"/>
    <w:rsid w:val="15604521"/>
    <w:rsid w:val="18C81A52"/>
    <w:rsid w:val="288B7D93"/>
    <w:rsid w:val="290A4385"/>
    <w:rsid w:val="2A455DA5"/>
    <w:rsid w:val="2EE05EDF"/>
    <w:rsid w:val="4A1035D1"/>
    <w:rsid w:val="4CBE77A4"/>
    <w:rsid w:val="4D422183"/>
    <w:rsid w:val="6D267E2D"/>
    <w:rsid w:val="73542698"/>
    <w:rsid w:val="7BD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645</Characters>
  <Lines>0</Lines>
  <Paragraphs>0</Paragraphs>
  <TotalTime>0</TotalTime>
  <ScaleCrop>false</ScaleCrop>
  <LinksUpToDate>false</LinksUpToDate>
  <CharactersWithSpaces>647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WPS_1606384971</cp:lastModifiedBy>
  <dcterms:modified xsi:type="dcterms:W3CDTF">2025-04-24T11:56:57Z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AE069AEAA5D5479A83A8D1B8B6916EE9_13</vt:lpwstr>
  </property>
  <property fmtid="{D5CDD505-2E9C-101B-9397-08002B2CF9AE}" pid="4" name="KSOTemplateDocerSaveRecord">
    <vt:lpwstr>eyJoZGlkIjoiY2UxY2E2OTJkZmQ4NGU2ODQwY2Q5MmZkZDE0NDI5YWQiLCJ1c2VySWQiOiIxMTQ3MDk2NjM2In0=</vt:lpwstr>
  </property>
</Properties>
</file>