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D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Cs/>
          <w:szCs w:val="44"/>
        </w:rPr>
      </w:pPr>
      <w:r>
        <w:rPr>
          <w:rFonts w:hint="default" w:ascii="Times New Roman" w:hAnsi="Times New Roman" w:eastAsia="黑体"/>
          <w:bCs/>
          <w:szCs w:val="44"/>
        </w:rPr>
        <w:t>附件3</w:t>
      </w:r>
    </w:p>
    <w:p w14:paraId="7039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</w:pPr>
      <w:r>
        <w:rPr>
          <w:rFonts w:hint="eastAsia" w:eastAsia="方正小标宋_GBK" w:cs="Times New Roman"/>
          <w:b w:val="0"/>
          <w:bCs/>
          <w:sz w:val="36"/>
          <w:szCs w:val="44"/>
          <w:lang w:eastAsia="zh-CN"/>
        </w:rPr>
        <w:t>粮油生产保障资金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转移支付202</w:t>
      </w:r>
      <w:r>
        <w:rPr>
          <w:rFonts w:hint="eastAsia" w:eastAsia="方正小标宋_GBK" w:cs="Times New Roman"/>
          <w:b w:val="0"/>
          <w:bCs/>
          <w:sz w:val="36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年度绩效自评报告</w:t>
      </w:r>
    </w:p>
    <w:p w14:paraId="3A2CA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一、绩效目标分解下达情况</w:t>
      </w:r>
    </w:p>
    <w:p w14:paraId="15767CC9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0"/>
          <w:szCs w:val="30"/>
        </w:rPr>
        <w:t>中央下达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粮油生产保障资金共642万元，其中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5F7FA"/>
        </w:rPr>
        <w:t>小麦“一喷三防”支出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项目资金267万元，</w:t>
      </w:r>
      <w:r>
        <w:rPr>
          <w:rFonts w:eastAsia="仿宋_GB2312"/>
          <w:sz w:val="30"/>
          <w:szCs w:val="30"/>
        </w:rPr>
        <w:t>通过项目实施提高小麦中后期田间管理水平，减轻病虫害、干热风、早衰等</w:t>
      </w:r>
      <w:r>
        <w:rPr>
          <w:rFonts w:hint="eastAsia" w:eastAsia="仿宋_GB2312"/>
          <w:sz w:val="30"/>
          <w:szCs w:val="30"/>
        </w:rPr>
        <w:t>为</w:t>
      </w:r>
      <w:r>
        <w:rPr>
          <w:rFonts w:eastAsia="仿宋_GB2312"/>
          <w:sz w:val="30"/>
          <w:szCs w:val="30"/>
        </w:rPr>
        <w:t>害，尤其是有效防控住小麦赤霉病等重大病虫害，提高防治效果，减少为害损失，促进稳产增产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5F7FA"/>
        </w:rPr>
        <w:t>大豆玉米带状复合种植支出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资金225万元，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用于种植户补助，通过补贴提高了种植户积极性，更好保障粮油生产安全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5F7FA"/>
        </w:rPr>
        <w:t>粮油等重点作物绿色高产高效支出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5F7FA"/>
          <w:lang w:val="en-US" w:eastAsia="zh-CN"/>
        </w:rPr>
        <w:t>150万元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5F7FA"/>
          <w:lang w:val="en-US"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用于种植户补助，通过补贴提高了种植户积极性，更好保障粮油生产安全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B17D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二、绩效情况分析</w:t>
      </w:r>
    </w:p>
    <w:p w14:paraId="6031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（一）资金投入情况分析。</w:t>
      </w:r>
      <w:r>
        <w:rPr>
          <w:rFonts w:hint="default" w:ascii="Times New Roman" w:hAnsi="Times New Roman" w:eastAsia="仿宋_GB2312" w:cs="Times New Roman"/>
          <w:bCs/>
          <w:szCs w:val="32"/>
        </w:rPr>
        <w:t>（分析资金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投入及执行</w:t>
      </w:r>
      <w:r>
        <w:rPr>
          <w:rFonts w:hint="default" w:ascii="Times New Roman" w:hAnsi="Times New Roman" w:eastAsia="仿宋_GB2312" w:cs="Times New Roman"/>
          <w:bCs/>
          <w:szCs w:val="32"/>
        </w:rPr>
        <w:t>情况）</w:t>
      </w:r>
    </w:p>
    <w:p w14:paraId="67863B7F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粮油生产保障资金共642万元，全年执行数492万元，预算执行率78.63%。其中，小麦“一喷三防”支出项目资金267万元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，全年执行数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267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万元，预算执行率100%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；大豆玉米带状复合种植支出资金225万元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，全年执行数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225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万元，预算执行率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%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；粮油等重点作物绿色高产高效支出150万元，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全年执行数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万元，预算执行率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%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 w14:paraId="0DC6B7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  <w:lang w:eastAsia="zh-CN"/>
        </w:rPr>
        <w:t>资金管理情况分析。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（分析资金分配、下达、拨付、使用、执行、预算绩效管理、支出责任履行等情况）</w:t>
      </w:r>
    </w:p>
    <w:p w14:paraId="62EB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粮油生产保障资金</w:t>
      </w:r>
      <w:r>
        <w:rPr>
          <w:rFonts w:hint="eastAsia" w:ascii="仿宋_GB2312" w:hAnsi="仿宋_GB2312" w:cs="仿宋_GB231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省农业厅及省财政厅工作任务及资金分配的要求进行了合理分配，严格项目资金的管理，资金完全按照省厅文件的使用范围执行，专款专用。</w:t>
      </w:r>
    </w:p>
    <w:p w14:paraId="5F6C0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小麦“一喷三防”项目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资金下达后，</w:t>
      </w:r>
      <w:r>
        <w:rPr>
          <w:rFonts w:hint="eastAsia" w:ascii="仿宋_GB2312" w:hAnsi="仿宋_GB2312" w:cs="仿宋_GB231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农业农村局制定实施方案，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由县农业农村局采购药剂和服务，在全县小麦种植区域补助用于锈病、白粉病、赤霉病和穗期蚜虫等小麦重大病虫害防治和防“干热风”、防早衰。各项目均根据农业农村部和财政部要求，结合当地实际确定本区域小麦“一喷三防”实施区域、实施面积和资金补助标准。该项目工作由各乡镇负责落实实施，用于全县57万亩小麦开展“一喷三防”，防病虫、防“干热风”、防早衰，增强灌浆强度，延长灌浆时间，提高粒重，实现了夏粮增产丰收 。</w:t>
      </w:r>
    </w:p>
    <w:p w14:paraId="5AB88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大豆玉米带状复合种植</w:t>
      </w:r>
      <w:r>
        <w:rPr>
          <w:rFonts w:hint="eastAsia" w:ascii="仿宋_GB2312"/>
          <w:sz w:val="30"/>
          <w:szCs w:val="30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下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达后，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全年目标任务1.5万亩，通过宣传发动并及时进行补贴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拨付及时，严格按规定执行。</w:t>
      </w:r>
    </w:p>
    <w:p w14:paraId="090E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3.粮油等重点作物绿色高产高效资金下达后，拨付及时，严格按规定执行。</w:t>
      </w:r>
    </w:p>
    <w:p w14:paraId="0D3C93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总体绩效目标完成情况分析。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（对照总体目标分析全年实际完成情况）</w:t>
      </w:r>
    </w:p>
    <w:p w14:paraId="6BBD0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通过项目实施，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粮油生产保障资金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的项目</w:t>
      </w:r>
      <w:r>
        <w:rPr>
          <w:rFonts w:hint="eastAsia" w:ascii="仿宋_GB2312" w:hAnsi="仿宋_GB2312" w:cs="仿宋_GB231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完成了全年的总体绩效目标。</w:t>
      </w:r>
    </w:p>
    <w:p w14:paraId="3C95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1、通过使用小麦“一喷三防”项目救灾资金，开展“一喷三防”，全县实施“一喷三防”面积57万亩，防小麦病虫、“干热风”、防早衰，增强灌浆强度，延长灌浆时间，提高粒重，实现了夏粮丰收 ，确保全年农业生产稳定，完成了目标任务。</w:t>
      </w:r>
    </w:p>
    <w:p w14:paraId="01266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 w14:paraId="181E3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大豆玉米带状复合种植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全年目标任务1.5万亩，通过宣传发动并及时进行补贴，共完成1.69万亩，超额完成任务。</w:t>
      </w:r>
    </w:p>
    <w:p w14:paraId="5E08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3.粮油等重点作物绿色高产高效项目</w:t>
      </w:r>
      <w:r>
        <w:rPr>
          <w:rFonts w:hint="eastAsia" w:ascii="仿宋_GB2312" w:hAnsi="仿宋_GB2312" w:cs="仿宋_GB2312"/>
          <w:szCs w:val="32"/>
          <w:lang w:val="en-US" w:eastAsia="zh-CN"/>
        </w:rPr>
        <w:t>已实施完毕，等待支付。</w:t>
      </w:r>
    </w:p>
    <w:p w14:paraId="7D407F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绩效指标完成情况分析。</w:t>
      </w:r>
      <w:r>
        <w:rPr>
          <w:rFonts w:hint="default" w:ascii="Times New Roman" w:hAnsi="Times New Roman" w:eastAsia="仿宋_GB2312" w:cs="Times New Roman"/>
          <w:bCs/>
          <w:szCs w:val="32"/>
          <w:lang w:eastAsia="zh-CN"/>
        </w:rPr>
        <w:t>（根据各三级绩效指标值，逐项分析全年实际完成情况）</w:t>
      </w:r>
    </w:p>
    <w:p w14:paraId="3BBA2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数量指标：指标1：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小麦“一喷三防”实施面积，防早衰、防干热风、防病虫年度指标值为≥56.94万亩，实际完成57万亩。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指标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2：大豆玉米带状复合种植面积1.5万亩，实际完成1.69万亩。</w:t>
      </w:r>
    </w:p>
    <w:p w14:paraId="1851D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质量指标：指标1：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用于“一喷三防”相关支出的比例年度指标值为100%，实际完成100%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。指标2</w:t>
      </w:r>
      <w:r>
        <w:rPr>
          <w:rFonts w:hint="eastAsia" w:ascii="仿宋_GB2312" w:hAnsi="仿宋_GB2312" w:cs="仿宋_GB231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“一喷三防”效果，年度指标要求有延长灌浆期，遏制病虫暴发流行，增加粒重的效果。今年的“一喷三防”确保延长了灌浆期，遏制住了病虫暴发流行，增加了粒重并实现了增产增收。指标3：经费支出合规率100%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6B26F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Cs w:val="32"/>
          <w:lang w:val="en-US" w:eastAsia="zh-CN"/>
        </w:rPr>
        <w:t>时效指标：指标1：</w:t>
      </w:r>
      <w:r>
        <w:rPr>
          <w:rFonts w:hint="eastAsia" w:ascii="仿宋_GB2312" w:hAnsi="仿宋_GB2312" w:cs="仿宋_GB2312"/>
          <w:szCs w:val="32"/>
          <w:lang w:val="en-US" w:eastAsia="zh-CN"/>
        </w:rPr>
        <w:t>经费保障时效2024年。</w:t>
      </w:r>
    </w:p>
    <w:p w14:paraId="4B7F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4、成本指标：指标1：年度资金执行率78.63%。</w:t>
      </w:r>
    </w:p>
    <w:p w14:paraId="49A64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5、经济效益指标：指标1：农民增收稳步提升。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指标2</w:t>
      </w:r>
      <w:r>
        <w:rPr>
          <w:rFonts w:hint="eastAsia" w:ascii="仿宋_GB2312" w:hAnsi="仿宋_GB2312" w:cs="仿宋_GB2312"/>
          <w:szCs w:val="32"/>
          <w:lang w:val="en-US" w:eastAsia="zh-CN"/>
        </w:rPr>
        <w:t>：粮食增产逐步提升。</w:t>
      </w:r>
    </w:p>
    <w:p w14:paraId="659D3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6、</w:t>
      </w:r>
      <w:r>
        <w:rPr>
          <w:rFonts w:hint="default" w:ascii="仿宋_GB2312" w:hAnsi="仿宋_GB2312" w:cs="仿宋_GB2312"/>
          <w:szCs w:val="32"/>
          <w:lang w:val="en-US" w:eastAsia="zh-CN"/>
        </w:rPr>
        <w:t>社会效益</w:t>
      </w:r>
      <w:r>
        <w:rPr>
          <w:rFonts w:hint="eastAsia" w:ascii="仿宋_GB2312" w:hAnsi="仿宋_GB2312" w:cs="仿宋_GB2312"/>
          <w:szCs w:val="32"/>
          <w:lang w:val="en-US" w:eastAsia="zh-CN"/>
        </w:rPr>
        <w:t>指标</w:t>
      </w:r>
      <w:r>
        <w:rPr>
          <w:rFonts w:hint="default" w:ascii="仿宋_GB2312" w:hAnsi="仿宋_GB2312" w:cs="仿宋_GB2312"/>
          <w:szCs w:val="32"/>
          <w:lang w:val="en-US" w:eastAsia="zh-CN"/>
        </w:rPr>
        <w:t>：指标1</w:t>
      </w:r>
      <w:r>
        <w:rPr>
          <w:rFonts w:hint="eastAsia" w:ascii="仿宋_GB2312" w:hAnsi="仿宋_GB2312" w:cs="仿宋_GB2312"/>
          <w:szCs w:val="32"/>
          <w:lang w:val="en-US" w:eastAsia="zh-CN"/>
        </w:rPr>
        <w:t>：</w:t>
      </w:r>
      <w:r>
        <w:rPr>
          <w:rFonts w:hint="default" w:ascii="仿宋_GB2312" w:hAnsi="仿宋_GB2312" w:cs="仿宋_GB2312"/>
          <w:szCs w:val="32"/>
          <w:lang w:val="en-US" w:eastAsia="zh-CN"/>
        </w:rPr>
        <w:t>资金使用无重大违规违纪问题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3ACC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7、可持续影响指标：指标1：为农民增收提供持续保障稳步提升。</w:t>
      </w:r>
    </w:p>
    <w:p w14:paraId="6568D6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-US" w:eastAsia="zh-CN"/>
        </w:rPr>
        <w:t>服务对象满意度</w:t>
      </w:r>
      <w:r>
        <w:rPr>
          <w:rFonts w:hint="eastAsia" w:ascii="仿宋_GB2312" w:hAnsi="仿宋_GB2312" w:cs="仿宋_GB2312"/>
          <w:szCs w:val="32"/>
          <w:lang w:val="en-US" w:eastAsia="zh-CN"/>
        </w:rPr>
        <w:t>指标:</w:t>
      </w:r>
      <w:r>
        <w:rPr>
          <w:rFonts w:hint="default" w:ascii="仿宋_GB2312" w:hAnsi="仿宋_GB2312" w:cs="仿宋_GB2312"/>
          <w:szCs w:val="32"/>
          <w:lang w:val="en-US" w:eastAsia="zh-CN"/>
        </w:rPr>
        <w:t>指标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default" w:ascii="仿宋_GB2312" w:hAnsi="仿宋_GB2312" w:cs="仿宋_GB231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Cs w:val="32"/>
          <w:lang w:val="en-US" w:eastAsia="zh-CN"/>
        </w:rPr>
        <w:t>服务</w:t>
      </w:r>
      <w:r>
        <w:rPr>
          <w:rFonts w:hint="default" w:ascii="仿宋_GB2312" w:hAnsi="仿宋_GB2312" w:cs="仿宋_GB2312"/>
          <w:szCs w:val="32"/>
          <w:lang w:val="en-US" w:eastAsia="zh-CN"/>
        </w:rPr>
        <w:t>主体满意度95%。</w:t>
      </w:r>
    </w:p>
    <w:p w14:paraId="3F4AD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default" w:ascii="仿宋_GB2312" w:hAnsi="仿宋_GB2312" w:cs="仿宋_GB2312"/>
          <w:szCs w:val="32"/>
          <w:lang w:val="en-US" w:eastAsia="zh-CN"/>
        </w:rPr>
      </w:pPr>
    </w:p>
    <w:p w14:paraId="7144017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偏离绩效目标的原因和下一步改进措施</w:t>
      </w:r>
    </w:p>
    <w:p w14:paraId="01C4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由于财政困难，项目资金不能正常拨付也是偏离绩效目标的主要原因，农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业农村局将进一步协调财政局统筹各级资金，争取加大拨付力度。</w:t>
      </w:r>
    </w:p>
    <w:p w14:paraId="53D52D5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绩效自评结果拟应用和公开情况</w:t>
      </w:r>
    </w:p>
    <w:p w14:paraId="01EB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2024年度中央对地方转移支付资金各项目绩效自评情况将于近期挂公示。</w:t>
      </w:r>
    </w:p>
    <w:p w14:paraId="7F157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五、其他需说明的问题</w:t>
      </w:r>
    </w:p>
    <w:p w14:paraId="0863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无</w:t>
      </w:r>
      <w:r>
        <w:rPr>
          <w:rFonts w:hint="eastAsia"/>
        </w:rPr>
        <w:t>。</w:t>
      </w:r>
    </w:p>
    <w:p w14:paraId="0877E35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Cs w:val="32"/>
          <w:lang w:eastAsia="zh-CN"/>
        </w:rPr>
        <w:t>附件</w:t>
      </w:r>
    </w:p>
    <w:p w14:paraId="14DB7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</w:pPr>
      <w:r>
        <w:rPr>
          <w:rFonts w:hint="eastAsia"/>
        </w:rPr>
        <w:t>转移支付区域（项目）绩效目标自评表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E9454"/>
    <w:multiLevelType w:val="singleLevel"/>
    <w:tmpl w:val="B7BE945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EEBC4E"/>
    <w:multiLevelType w:val="singleLevel"/>
    <w:tmpl w:val="BEEEBC4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FD726BF"/>
    <w:multiLevelType w:val="singleLevel"/>
    <w:tmpl w:val="BFD726BF"/>
    <w:lvl w:ilvl="0" w:tentative="0">
      <w:start w:val="8"/>
      <w:numFmt w:val="decimal"/>
      <w:suff w:val="nothing"/>
      <w:lvlText w:val="%1、"/>
      <w:lvlJc w:val="left"/>
    </w:lvl>
  </w:abstractNum>
  <w:abstractNum w:abstractNumId="3">
    <w:nsid w:val="EEEFE495"/>
    <w:multiLevelType w:val="singleLevel"/>
    <w:tmpl w:val="EEEFE49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FFA9A51"/>
    <w:multiLevelType w:val="singleLevel"/>
    <w:tmpl w:val="5FFA9A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MzMjM3ZWUzYjQyNThlY2MzOTY3YjUzMmMwMTEifQ=="/>
  </w:docVars>
  <w:rsids>
    <w:rsidRoot w:val="00D1751E"/>
    <w:rsid w:val="00017BED"/>
    <w:rsid w:val="00087831"/>
    <w:rsid w:val="001406B3"/>
    <w:rsid w:val="00141F6A"/>
    <w:rsid w:val="001C540F"/>
    <w:rsid w:val="001E026B"/>
    <w:rsid w:val="002469B3"/>
    <w:rsid w:val="002477AA"/>
    <w:rsid w:val="00271457"/>
    <w:rsid w:val="00280240"/>
    <w:rsid w:val="00306CC5"/>
    <w:rsid w:val="0031589D"/>
    <w:rsid w:val="00380FDA"/>
    <w:rsid w:val="00391A31"/>
    <w:rsid w:val="003D42B3"/>
    <w:rsid w:val="003D53B7"/>
    <w:rsid w:val="00434843"/>
    <w:rsid w:val="00445B29"/>
    <w:rsid w:val="00446799"/>
    <w:rsid w:val="00497D92"/>
    <w:rsid w:val="004B2FC0"/>
    <w:rsid w:val="004C0A07"/>
    <w:rsid w:val="00542618"/>
    <w:rsid w:val="00647C03"/>
    <w:rsid w:val="00674A18"/>
    <w:rsid w:val="006968E4"/>
    <w:rsid w:val="006D23E7"/>
    <w:rsid w:val="00760C12"/>
    <w:rsid w:val="007630BE"/>
    <w:rsid w:val="007B6B81"/>
    <w:rsid w:val="008228A4"/>
    <w:rsid w:val="008B1257"/>
    <w:rsid w:val="008B6575"/>
    <w:rsid w:val="008C6DD4"/>
    <w:rsid w:val="008F0628"/>
    <w:rsid w:val="009219E3"/>
    <w:rsid w:val="00941D97"/>
    <w:rsid w:val="00964A7C"/>
    <w:rsid w:val="00973A51"/>
    <w:rsid w:val="009F7581"/>
    <w:rsid w:val="00AC102D"/>
    <w:rsid w:val="00AD7E5A"/>
    <w:rsid w:val="00B60D61"/>
    <w:rsid w:val="00B637F8"/>
    <w:rsid w:val="00BE41BA"/>
    <w:rsid w:val="00BE4E46"/>
    <w:rsid w:val="00CC2136"/>
    <w:rsid w:val="00CE629B"/>
    <w:rsid w:val="00D1751E"/>
    <w:rsid w:val="00D33D23"/>
    <w:rsid w:val="00D374BA"/>
    <w:rsid w:val="00D4009C"/>
    <w:rsid w:val="00D703A5"/>
    <w:rsid w:val="00DD3744"/>
    <w:rsid w:val="00DE0835"/>
    <w:rsid w:val="00DF1EF9"/>
    <w:rsid w:val="00E71BD2"/>
    <w:rsid w:val="00EB4C1B"/>
    <w:rsid w:val="00EF5E5A"/>
    <w:rsid w:val="00F07578"/>
    <w:rsid w:val="00F37CE5"/>
    <w:rsid w:val="00F40B84"/>
    <w:rsid w:val="00FE2B0A"/>
    <w:rsid w:val="2FDE98A7"/>
    <w:rsid w:val="3DFBD5E6"/>
    <w:rsid w:val="3FF78E12"/>
    <w:rsid w:val="435E2D57"/>
    <w:rsid w:val="47769442"/>
    <w:rsid w:val="4FF94C62"/>
    <w:rsid w:val="57D54FFF"/>
    <w:rsid w:val="5FCF171A"/>
    <w:rsid w:val="679734A0"/>
    <w:rsid w:val="67C53CAC"/>
    <w:rsid w:val="685D3D28"/>
    <w:rsid w:val="6B8FC0D3"/>
    <w:rsid w:val="6FF72519"/>
    <w:rsid w:val="7B7F78B0"/>
    <w:rsid w:val="7CB95BD9"/>
    <w:rsid w:val="7D7F2892"/>
    <w:rsid w:val="7E37A04C"/>
    <w:rsid w:val="A2E89E9F"/>
    <w:rsid w:val="AF6B0E12"/>
    <w:rsid w:val="BBFC2043"/>
    <w:rsid w:val="DD4ECC98"/>
    <w:rsid w:val="DFEFDA48"/>
    <w:rsid w:val="E9EE15BA"/>
    <w:rsid w:val="EEBEDFD2"/>
    <w:rsid w:val="F5FF3403"/>
    <w:rsid w:val="FB9EA4F1"/>
    <w:rsid w:val="FE75A5E0"/>
    <w:rsid w:val="FFE5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8">
    <w:name w:val="Body text|3"/>
    <w:basedOn w:val="1"/>
    <w:qFormat/>
    <w:uiPriority w:val="0"/>
    <w:pPr>
      <w:ind w:firstLine="56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1579</Words>
  <Characters>1661</Characters>
  <Lines>2</Lines>
  <Paragraphs>1</Paragraphs>
  <TotalTime>0</TotalTime>
  <ScaleCrop>false</ScaleCrop>
  <LinksUpToDate>false</LinksUpToDate>
  <CharactersWithSpaces>1663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2021-04-01T18:39:00Z</dcterms:created>
  <dc:creator>刘月</dc:creator>
  <cp:lastModifiedBy>蓝月光</cp:lastModifiedBy>
  <cp:lastPrinted>2024-03-01T08:17:00Z</cp:lastPrinted>
  <dcterms:modified xsi:type="dcterms:W3CDTF">2025-03-14T08:08:03Z</dcterms:modified>
  <dc:title>附件3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BDD638DC6EBF4BC7A3279C763BC068D0_13</vt:lpwstr>
  </property>
  <property fmtid="{D5CDD505-2E9C-101B-9397-08002B2CF9AE}" pid="4" name="KSOTemplateDocerSaveRecord">
    <vt:lpwstr>eyJoZGlkIjoiNGQ0M2ZkNmRkNzU1NWE0NWIzODQ5ZWMzNDBhNTY2OTAiLCJ1c2VySWQiOiIzNTU3NjYxMzYifQ==</vt:lpwstr>
  </property>
</Properties>
</file>