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《关于深化文旅融合彰显梨都魅力加快建设高品质旅游强县的实施方案》起草情况的</w:t>
      </w:r>
    </w:p>
    <w:p>
      <w:pPr>
        <w:keepNext w:val="0"/>
        <w:keepLines w:val="0"/>
        <w:pageBreakBefore w:val="0"/>
        <w:widowControl w:val="0"/>
        <w:kinsoku/>
        <w:wordWrap/>
        <w:overflowPunct/>
        <w:topLinePunct w:val="0"/>
        <w:autoSpaceDE/>
        <w:autoSpaceDN/>
        <w:bidi w:val="0"/>
        <w:snapToGrid w:val="0"/>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说明</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heme="majorEastAsia" w:hAnsiTheme="majorEastAsia" w:eastAsiaTheme="majorEastAsia" w:cstheme="majorEastAsia"/>
          <w:b/>
          <w:bCs/>
          <w:sz w:val="18"/>
          <w:szCs w:val="18"/>
          <w:lang w:eastAsia="zh-CN"/>
        </w:rPr>
      </w:pPr>
    </w:p>
    <w:p>
      <w:pPr>
        <w:widowControl w:val="0"/>
        <w:snapToGrid w:val="0"/>
        <w:spacing w:line="589" w:lineRule="atLeast"/>
      </w:pPr>
    </w:p>
    <w:p>
      <w:pPr>
        <w:keepNext w:val="0"/>
        <w:keepLines w:val="0"/>
        <w:pageBreakBefore w:val="0"/>
        <w:widowControl w:val="0"/>
        <w:kinsoku/>
        <w:wordWrap/>
        <w:topLinePunct w:val="0"/>
        <w:autoSpaceDE/>
        <w:autoSpaceDN/>
        <w:bidi w:val="0"/>
        <w:snapToGrid w:val="0"/>
        <w:spacing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kinsoku/>
        <w:wordWrap/>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napToGrid w:val="0"/>
          <w:color w:val="auto"/>
          <w:kern w:val="0"/>
          <w:sz w:val="32"/>
          <w:szCs w:val="32"/>
          <w:lang w:val="en-US" w:eastAsia="zh-CN" w:bidi="ar-SA"/>
        </w:rPr>
        <w:t>为落实习近平总书记关于文化和旅游工作重要论述和考察安徽重要指示精神，根据《中共安徽省委 省政府关于深化文旅融合彰显徽风皖韵加快建设高品质旅游强省的意见》</w:t>
      </w:r>
      <w:r>
        <w:rPr>
          <w:rFonts w:hint="eastAsia" w:ascii="仿宋_GB2312" w:hAnsi="仿宋_GB2312" w:eastAsia="仿宋_GB2312" w:cs="仿宋_GB2312"/>
          <w:b w:val="0"/>
          <w:bCs w:val="0"/>
          <w:snapToGrid w:val="0"/>
          <w:kern w:val="0"/>
          <w:sz w:val="32"/>
          <w:szCs w:val="40"/>
          <w:lang w:eastAsia="zh-CN"/>
        </w:rPr>
        <w:t>（皖发〔20</w:t>
      </w:r>
      <w:r>
        <w:rPr>
          <w:rFonts w:hint="eastAsia" w:ascii="仿宋_GB2312" w:hAnsi="仿宋_GB2312" w:eastAsia="仿宋_GB2312" w:cs="仿宋_GB2312"/>
          <w:b w:val="0"/>
          <w:bCs w:val="0"/>
          <w:snapToGrid w:val="0"/>
          <w:kern w:val="0"/>
          <w:sz w:val="32"/>
          <w:szCs w:val="40"/>
          <w:lang w:val="en-US" w:eastAsia="zh-CN"/>
        </w:rPr>
        <w:t>23</w:t>
      </w:r>
      <w:r>
        <w:rPr>
          <w:rFonts w:hint="eastAsia" w:ascii="仿宋_GB2312" w:hAnsi="仿宋_GB2312" w:eastAsia="仿宋_GB2312" w:cs="仿宋_GB2312"/>
          <w:b w:val="0"/>
          <w:bCs w:val="0"/>
          <w:snapToGrid w:val="0"/>
          <w:kern w:val="0"/>
          <w:sz w:val="32"/>
          <w:szCs w:val="40"/>
          <w:lang w:eastAsia="zh-CN"/>
        </w:rPr>
        <w:t>〕</w:t>
      </w:r>
      <w:r>
        <w:rPr>
          <w:rFonts w:hint="eastAsia" w:ascii="仿宋_GB2312" w:hAnsi="仿宋_GB2312" w:eastAsia="仿宋_GB2312" w:cs="仿宋_GB2312"/>
          <w:b w:val="0"/>
          <w:bCs w:val="0"/>
          <w:snapToGrid w:val="0"/>
          <w:kern w:val="0"/>
          <w:sz w:val="32"/>
          <w:szCs w:val="40"/>
          <w:lang w:val="en-US" w:eastAsia="zh-CN"/>
        </w:rPr>
        <w:t>12</w:t>
      </w:r>
      <w:r>
        <w:rPr>
          <w:rFonts w:hint="eastAsia" w:ascii="仿宋_GB2312" w:hAnsi="仿宋_GB2312" w:eastAsia="仿宋_GB2312" w:cs="仿宋_GB2312"/>
          <w:b w:val="0"/>
          <w:bCs w:val="0"/>
          <w:snapToGrid w:val="0"/>
          <w:kern w:val="0"/>
          <w:sz w:val="32"/>
          <w:szCs w:val="40"/>
          <w:lang w:eastAsia="zh-CN"/>
        </w:rPr>
        <w:t>号）</w:t>
      </w:r>
      <w:r>
        <w:rPr>
          <w:rFonts w:hint="eastAsia" w:ascii="仿宋_GB2312" w:hAnsi="仿宋_GB2312" w:eastAsia="仿宋_GB2312" w:cs="仿宋_GB2312"/>
          <w:b w:val="0"/>
          <w:bCs w:val="0"/>
          <w:snapToGrid w:val="0"/>
          <w:color w:val="auto"/>
          <w:kern w:val="0"/>
          <w:sz w:val="32"/>
          <w:szCs w:val="32"/>
          <w:lang w:val="en-US" w:eastAsia="zh-CN" w:bidi="ar-SA"/>
        </w:rPr>
        <w:t>、《中共宿州市委 宿州市人民政府关于深化文旅融合彰显宿州魅力加快建设高品质旅游强市的实施意见）</w:t>
      </w:r>
      <w:r>
        <w:rPr>
          <w:rFonts w:hint="eastAsia" w:ascii="仿宋_GB2312" w:hAnsi="仿宋_GB2312" w:eastAsia="仿宋_GB2312" w:cs="仿宋_GB2312"/>
          <w:b w:val="0"/>
          <w:bCs w:val="0"/>
          <w:snapToGrid w:val="0"/>
          <w:kern w:val="0"/>
          <w:sz w:val="32"/>
          <w:szCs w:val="40"/>
          <w:lang w:eastAsia="zh-CN"/>
        </w:rPr>
        <w:t>（宿发〔20</w:t>
      </w:r>
      <w:r>
        <w:rPr>
          <w:rFonts w:hint="eastAsia" w:ascii="仿宋_GB2312" w:hAnsi="仿宋_GB2312" w:eastAsia="仿宋_GB2312" w:cs="仿宋_GB2312"/>
          <w:b w:val="0"/>
          <w:bCs w:val="0"/>
          <w:snapToGrid w:val="0"/>
          <w:kern w:val="0"/>
          <w:sz w:val="32"/>
          <w:szCs w:val="40"/>
          <w:lang w:val="en-US" w:eastAsia="zh-CN"/>
        </w:rPr>
        <w:t>23</w:t>
      </w:r>
      <w:r>
        <w:rPr>
          <w:rFonts w:hint="eastAsia" w:ascii="仿宋_GB2312" w:hAnsi="仿宋_GB2312" w:eastAsia="仿宋_GB2312" w:cs="仿宋_GB2312"/>
          <w:b w:val="0"/>
          <w:bCs w:val="0"/>
          <w:snapToGrid w:val="0"/>
          <w:kern w:val="0"/>
          <w:sz w:val="32"/>
          <w:szCs w:val="40"/>
          <w:lang w:eastAsia="zh-CN"/>
        </w:rPr>
        <w:t>〕</w:t>
      </w:r>
      <w:r>
        <w:rPr>
          <w:rFonts w:hint="eastAsia" w:ascii="仿宋_GB2312" w:hAnsi="仿宋_GB2312" w:eastAsia="仿宋_GB2312" w:cs="仿宋_GB2312"/>
          <w:b w:val="0"/>
          <w:bCs w:val="0"/>
          <w:snapToGrid w:val="0"/>
          <w:kern w:val="0"/>
          <w:sz w:val="32"/>
          <w:szCs w:val="40"/>
          <w:lang w:val="en-US" w:eastAsia="zh-CN"/>
        </w:rPr>
        <w:t>11</w:t>
      </w:r>
      <w:r>
        <w:rPr>
          <w:rFonts w:hint="eastAsia" w:ascii="仿宋_GB2312" w:hAnsi="仿宋_GB2312" w:eastAsia="仿宋_GB2312" w:cs="仿宋_GB2312"/>
          <w:b w:val="0"/>
          <w:bCs w:val="0"/>
          <w:snapToGrid w:val="0"/>
          <w:kern w:val="0"/>
          <w:sz w:val="32"/>
          <w:szCs w:val="40"/>
          <w:lang w:eastAsia="zh-CN"/>
        </w:rPr>
        <w:t>号）</w:t>
      </w:r>
      <w:r>
        <w:rPr>
          <w:rFonts w:hint="eastAsia" w:ascii="仿宋_GB2312" w:hAnsi="仿宋_GB2312" w:eastAsia="仿宋_GB2312" w:cs="仿宋_GB2312"/>
          <w:sz w:val="32"/>
          <w:szCs w:val="32"/>
          <w:lang w:val="en-US" w:eastAsia="zh-CN"/>
        </w:rPr>
        <w:t>等文件要求，</w:t>
      </w:r>
      <w:r>
        <w:rPr>
          <w:rFonts w:hint="eastAsia" w:ascii="仿宋_GB2312" w:hAnsi="仿宋_GB2312" w:eastAsia="仿宋_GB2312" w:cs="仿宋_GB2312"/>
          <w:sz w:val="32"/>
          <w:szCs w:val="32"/>
        </w:rPr>
        <w:t>进一步促进</w:t>
      </w:r>
      <w:r>
        <w:rPr>
          <w:rFonts w:hint="eastAsia" w:ascii="仿宋_GB2312" w:hAnsi="仿宋_GB2312" w:eastAsia="仿宋_GB2312" w:cs="仿宋_GB2312"/>
          <w:sz w:val="32"/>
          <w:szCs w:val="32"/>
          <w:lang w:val="en-US" w:eastAsia="zh-CN"/>
        </w:rPr>
        <w:t>旅游高质</w:t>
      </w:r>
      <w:r>
        <w:rPr>
          <w:rFonts w:hint="eastAsia" w:ascii="仿宋_GB2312" w:hAnsi="仿宋_GB2312" w:eastAsia="仿宋_GB2312" w:cs="仿宋_GB2312"/>
          <w:b w:val="0"/>
          <w:bCs w:val="0"/>
          <w:snapToGrid w:val="0"/>
          <w:color w:val="auto"/>
          <w:kern w:val="0"/>
          <w:sz w:val="32"/>
          <w:szCs w:val="32"/>
          <w:lang w:val="en-US" w:eastAsia="zh-CN" w:bidi="ar-SA"/>
        </w:rPr>
        <w:t>量发展，我局起草了《关于深化文旅融合彰显梨都魅力加快建设高品质旅游强县的实施方案》（征求</w:t>
      </w:r>
      <w:r>
        <w:rPr>
          <w:rFonts w:hint="eastAsia" w:ascii="仿宋_GB2312" w:hAnsi="仿宋_GB2312" w:eastAsia="仿宋_GB2312" w:cs="仿宋_GB2312"/>
          <w:sz w:val="32"/>
          <w:szCs w:val="32"/>
          <w:lang w:eastAsia="zh-CN"/>
        </w:rPr>
        <w:t>意见稿</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主要内容说明</w:t>
      </w:r>
    </w:p>
    <w:p>
      <w:pPr>
        <w:keepNext w:val="0"/>
        <w:keepLines w:val="0"/>
        <w:pageBreakBefore w:val="0"/>
        <w:kinsoku/>
        <w:wordWrap/>
        <w:topLinePunct w:val="0"/>
        <w:autoSpaceDE/>
        <w:autoSpaceDN/>
        <w:bidi w:val="0"/>
        <w:adjustRightInd w:val="0"/>
        <w:snapToGrid w:val="0"/>
        <w:spacing w:line="560" w:lineRule="exact"/>
        <w:ind w:leftChars="0" w:firstLine="640" w:firstLineChars="200"/>
        <w:jc w:val="center"/>
        <w:textAlignment w:val="auto"/>
        <w:rPr>
          <w:rFonts w:hint="eastAsia" w:ascii="仿宋" w:hAnsi="仿宋" w:eastAsia="仿宋" w:cs="仿宋"/>
          <w:b w:val="0"/>
          <w:bCs w:val="0"/>
          <w:snapToGrid w:val="0"/>
          <w:color w:val="auto"/>
          <w:kern w:val="0"/>
          <w:sz w:val="32"/>
          <w:szCs w:val="32"/>
          <w:lang w:val="en-US" w:eastAsia="zh-CN" w:bidi="ar-SA"/>
        </w:rPr>
      </w:pPr>
      <w:r>
        <w:rPr>
          <w:rFonts w:hint="eastAsia" w:ascii="仿宋" w:hAnsi="仿宋" w:eastAsia="仿宋" w:cs="仿宋"/>
          <w:b w:val="0"/>
          <w:bCs w:val="0"/>
          <w:snapToGrid w:val="0"/>
          <w:color w:val="auto"/>
          <w:kern w:val="0"/>
          <w:sz w:val="32"/>
          <w:szCs w:val="32"/>
          <w:lang w:val="en-US" w:eastAsia="zh-CN" w:bidi="ar-SA"/>
        </w:rPr>
        <w:t>意见共分九大部分，30条。</w:t>
      </w:r>
    </w:p>
    <w:p>
      <w:pPr>
        <w:adjustRightInd w:val="0"/>
        <w:snapToGrid w:val="0"/>
        <w:spacing w:line="560" w:lineRule="exact"/>
        <w:ind w:firstLine="643" w:firstLineChars="200"/>
        <w:rPr>
          <w:rFonts w:hint="eastAsia" w:ascii="仿宋" w:hAnsi="仿宋" w:eastAsia="仿宋" w:cs="仿宋"/>
          <w:b w:val="0"/>
          <w:bCs w:val="0"/>
          <w:snapToGrid w:val="0"/>
          <w:color w:val="auto"/>
          <w:kern w:val="0"/>
          <w:sz w:val="32"/>
          <w:szCs w:val="32"/>
          <w:lang w:val="en-US" w:eastAsia="zh-CN" w:bidi="ar-SA"/>
        </w:rPr>
      </w:pPr>
      <w:r>
        <w:rPr>
          <w:rFonts w:hint="eastAsia" w:ascii="楷体" w:hAnsi="楷体" w:eastAsia="楷体" w:cs="楷体"/>
          <w:b/>
          <w:bCs/>
          <w:kern w:val="2"/>
          <w:sz w:val="32"/>
          <w:szCs w:val="32"/>
          <w:lang w:val="en-US" w:eastAsia="zh-CN" w:bidi="ar-SA"/>
        </w:rPr>
        <w:t>第一部分</w:t>
      </w:r>
      <w:bookmarkStart w:id="0" w:name="OLE_LINK1"/>
      <w:r>
        <w:rPr>
          <w:rFonts w:hint="eastAsia" w:ascii="楷体" w:hAnsi="楷体" w:eastAsia="楷体" w:cs="楷体"/>
          <w:b/>
          <w:bCs/>
          <w:kern w:val="2"/>
          <w:sz w:val="32"/>
          <w:szCs w:val="32"/>
          <w:lang w:val="en-US" w:eastAsia="zh-CN" w:bidi="ar-SA"/>
        </w:rPr>
        <w:t>：总体要求</w:t>
      </w:r>
      <w:bookmarkEnd w:id="0"/>
      <w:r>
        <w:rPr>
          <w:rFonts w:hint="eastAsia" w:ascii="楷体" w:hAnsi="楷体" w:eastAsia="楷体" w:cs="楷体"/>
          <w:b/>
          <w:bCs/>
          <w:kern w:val="2"/>
          <w:sz w:val="32"/>
          <w:szCs w:val="32"/>
          <w:lang w:val="en-US" w:eastAsia="zh-CN" w:bidi="ar-SA"/>
        </w:rPr>
        <w:t>。</w:t>
      </w:r>
      <w:r>
        <w:rPr>
          <w:rFonts w:hint="eastAsia" w:ascii="仿宋" w:hAnsi="仿宋" w:eastAsia="仿宋" w:cs="仿宋"/>
          <w:b w:val="0"/>
          <w:bCs w:val="0"/>
          <w:snapToGrid w:val="0"/>
          <w:color w:val="auto"/>
          <w:kern w:val="0"/>
          <w:sz w:val="32"/>
          <w:szCs w:val="32"/>
          <w:lang w:val="en-US" w:eastAsia="zh-CN" w:bidi="ar-SA"/>
        </w:rPr>
        <w:t>分为指导思想、总体布局、主要目标三个部分。提出要充分发挥我县旅游资源优势和特点，着力构建“三区一带多点”总体发展格局，</w:t>
      </w:r>
      <w:r>
        <w:rPr>
          <w:rFonts w:hint="eastAsia" w:ascii="仿宋_GB2312" w:hAnsi="仿宋_GB2312" w:eastAsia="仿宋_GB2312" w:cs="仿宋_GB2312"/>
          <w:color w:val="000000"/>
          <w:sz w:val="32"/>
          <w:szCs w:val="32"/>
          <w:shd w:val="clear" w:color="auto" w:fill="FFFFFF"/>
        </w:rPr>
        <w:t>到 2025 年，全县年接待游客达到650万人次、旅游总收入达到</w:t>
      </w:r>
      <w:r>
        <w:rPr>
          <w:rFonts w:hint="eastAsia" w:ascii="仿宋_GB2312" w:hAnsi="仿宋_GB2312" w:eastAsia="仿宋_GB2312" w:cs="仿宋_GB2312"/>
          <w:color w:val="000000"/>
          <w:sz w:val="32"/>
          <w:szCs w:val="32"/>
          <w:shd w:val="clear" w:color="auto" w:fill="FFFFFF"/>
          <w:lang w:val="en-US" w:eastAsia="zh-CN"/>
        </w:rPr>
        <w:t>45</w:t>
      </w:r>
      <w:r>
        <w:rPr>
          <w:rFonts w:hint="eastAsia" w:ascii="仿宋_GB2312" w:hAnsi="仿宋_GB2312" w:eastAsia="仿宋_GB2312" w:cs="仿宋_GB2312"/>
          <w:color w:val="000000"/>
          <w:sz w:val="32"/>
          <w:szCs w:val="32"/>
          <w:shd w:val="clear" w:color="auto" w:fill="FFFFFF"/>
        </w:rPr>
        <w:t>亿元</w:t>
      </w:r>
      <w:r>
        <w:rPr>
          <w:rFonts w:hint="eastAsia" w:ascii="仿宋" w:hAnsi="仿宋" w:eastAsia="仿宋" w:cs="仿宋"/>
          <w:b w:val="0"/>
          <w:bCs w:val="0"/>
          <w:snapToGrid w:val="0"/>
          <w:color w:val="auto"/>
          <w:kern w:val="0"/>
          <w:sz w:val="32"/>
          <w:szCs w:val="32"/>
          <w:lang w:val="en-US" w:eastAsia="zh-CN" w:bidi="ar-SA"/>
        </w:rPr>
        <w:t>。</w:t>
      </w:r>
      <w:r>
        <w:rPr>
          <w:rFonts w:hint="eastAsia" w:ascii="仿宋_GB2312" w:hAnsi="仿宋_GB2312" w:eastAsia="仿宋_GB2312" w:cs="仿宋_GB2312"/>
          <w:color w:val="000000"/>
          <w:sz w:val="32"/>
          <w:szCs w:val="32"/>
          <w:shd w:val="clear" w:color="auto" w:fill="FFFFFF"/>
        </w:rPr>
        <w:t xml:space="preserve">到2027年，全县旅游产业实现多业态融合发展，建成一批富有文化、品质优良、体验丰富、绿色智慧的旅游项目，年接待游客超过 </w:t>
      </w:r>
      <w:r>
        <w:rPr>
          <w:rFonts w:hint="eastAsia" w:ascii="仿宋_GB2312" w:hAnsi="仿宋_GB2312" w:eastAsia="仿宋_GB2312" w:cs="仿宋_GB2312"/>
          <w:color w:val="000000"/>
          <w:sz w:val="32"/>
          <w:szCs w:val="32"/>
          <w:shd w:val="clear" w:color="auto" w:fill="FFFFFF"/>
          <w:lang w:val="en-US" w:eastAsia="zh-CN"/>
        </w:rPr>
        <w:t>800</w:t>
      </w:r>
      <w:r>
        <w:rPr>
          <w:rFonts w:hint="eastAsia" w:ascii="仿宋_GB2312" w:hAnsi="仿宋_GB2312" w:eastAsia="仿宋_GB2312" w:cs="仿宋_GB2312"/>
          <w:color w:val="000000"/>
          <w:sz w:val="32"/>
          <w:szCs w:val="32"/>
          <w:shd w:val="clear" w:color="auto" w:fill="FFFFFF"/>
        </w:rPr>
        <w:t>万人次、旅游总收入达到</w:t>
      </w:r>
      <w:r>
        <w:rPr>
          <w:rFonts w:hint="eastAsia" w:ascii="仿宋_GB2312" w:hAnsi="仿宋_GB2312" w:eastAsia="仿宋_GB2312" w:cs="仿宋_GB2312"/>
          <w:color w:val="000000"/>
          <w:sz w:val="32"/>
          <w:szCs w:val="32"/>
          <w:shd w:val="clear" w:color="auto" w:fill="FFFFFF"/>
          <w:lang w:val="en-US" w:eastAsia="zh-CN"/>
        </w:rPr>
        <w:t>75</w:t>
      </w:r>
      <w:r>
        <w:rPr>
          <w:rFonts w:hint="eastAsia" w:ascii="仿宋_GB2312" w:hAnsi="仿宋_GB2312" w:eastAsia="仿宋_GB2312" w:cs="仿宋_GB2312"/>
          <w:color w:val="000000"/>
          <w:sz w:val="32"/>
          <w:szCs w:val="32"/>
          <w:shd w:val="clear" w:color="auto" w:fill="FFFFFF"/>
        </w:rPr>
        <w:t>亿元。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b/>
          <w:bCs/>
          <w:kern w:val="2"/>
          <w:sz w:val="32"/>
          <w:szCs w:val="32"/>
          <w:lang w:val="en-US" w:eastAsia="zh-CN" w:bidi="ar-SA"/>
        </w:rPr>
        <w:t>第二部分：实施旅游能级提升工程。</w:t>
      </w:r>
      <w:r>
        <w:rPr>
          <w:rFonts w:hint="eastAsia" w:ascii="仿宋" w:hAnsi="仿宋" w:eastAsia="仿宋" w:cs="仿宋"/>
          <w:b w:val="0"/>
          <w:bCs w:val="0"/>
          <w:snapToGrid w:val="0"/>
          <w:color w:val="auto"/>
          <w:kern w:val="0"/>
          <w:sz w:val="32"/>
          <w:szCs w:val="32"/>
          <w:lang w:val="en-US" w:eastAsia="zh-CN" w:bidi="ar-SA"/>
        </w:rPr>
        <w:t>分为持续提升景区发展能级、持续推进旅游项目建设、持续培育壮大市场主体、持续强化产业“双招双引”等四个方面。</w:t>
      </w:r>
      <w:r>
        <w:rPr>
          <w:rFonts w:hint="eastAsia" w:ascii="仿宋_GB2312" w:hAnsi="仿宋_GB2312" w:eastAsia="仿宋_GB2312" w:cs="仿宋_GB2312"/>
          <w:color w:val="000000"/>
          <w:sz w:val="32"/>
          <w:szCs w:val="32"/>
          <w:shd w:val="clear" w:color="auto" w:fill="FFFFFF"/>
        </w:rPr>
        <w:t>遴选</w:t>
      </w:r>
      <w:r>
        <w:rPr>
          <w:rFonts w:hint="eastAsia" w:ascii="仿宋_GB2312" w:hAnsi="仿宋_GB2312" w:eastAsia="仿宋_GB2312" w:cs="仿宋_GB2312"/>
          <w:color w:val="000000"/>
          <w:sz w:val="32"/>
          <w:szCs w:val="32"/>
          <w:shd w:val="clear" w:color="auto" w:fill="FFFFFF"/>
          <w:lang w:eastAsia="zh-CN"/>
        </w:rPr>
        <w:t>梨树王景区</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砀山古城景区</w:t>
      </w:r>
      <w:r>
        <w:rPr>
          <w:rFonts w:hint="eastAsia" w:ascii="仿宋_GB2312" w:hAnsi="仿宋_GB2312" w:eastAsia="仿宋_GB2312" w:cs="仿宋_GB2312"/>
          <w:color w:val="000000"/>
          <w:sz w:val="32"/>
          <w:szCs w:val="32"/>
          <w:shd w:val="clear" w:color="auto" w:fill="FFFFFF"/>
        </w:rPr>
        <w:t>等重点景区，实施“一景一案”改造提升，引入互动业态、丰富消费场景、迭代更新产品、拓展综合功能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持续推进</w:t>
      </w:r>
      <w:r>
        <w:rPr>
          <w:rFonts w:hint="eastAsia" w:ascii="仿宋_GB2312" w:hAnsi="仿宋_GB2312" w:eastAsia="仿宋_GB2312" w:cs="仿宋_GB2312"/>
          <w:color w:val="000000"/>
          <w:sz w:val="32"/>
          <w:szCs w:val="32"/>
          <w:shd w:val="clear" w:color="auto" w:fill="FFFFFF"/>
          <w:lang w:eastAsia="zh-CN"/>
        </w:rPr>
        <w:t>梨树王景区</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文家河</w:t>
      </w:r>
      <w:r>
        <w:rPr>
          <w:rFonts w:hint="eastAsia" w:ascii="仿宋_GB2312" w:hAnsi="仿宋_GB2312" w:eastAsia="仿宋_GB2312" w:cs="仿宋_GB2312"/>
          <w:color w:val="000000"/>
          <w:sz w:val="32"/>
          <w:szCs w:val="32"/>
          <w:shd w:val="clear" w:color="auto" w:fill="FFFFFF"/>
        </w:rPr>
        <w:t>文旅项目与</w:t>
      </w:r>
      <w:r>
        <w:rPr>
          <w:rFonts w:hint="eastAsia" w:ascii="仿宋_GB2312" w:hAnsi="仿宋_GB2312" w:eastAsia="仿宋_GB2312" w:cs="仿宋_GB2312"/>
          <w:color w:val="000000"/>
          <w:sz w:val="32"/>
          <w:szCs w:val="32"/>
          <w:shd w:val="clear" w:color="auto" w:fill="FFFFFF"/>
          <w:lang w:eastAsia="zh-CN"/>
        </w:rPr>
        <w:t>黄河故道</w:t>
      </w:r>
      <w:r>
        <w:rPr>
          <w:rFonts w:hint="eastAsia" w:ascii="仿宋_GB2312" w:hAnsi="仿宋_GB2312" w:eastAsia="仿宋_GB2312" w:cs="仿宋_GB2312"/>
          <w:color w:val="000000"/>
          <w:sz w:val="32"/>
          <w:szCs w:val="32"/>
          <w:shd w:val="clear" w:color="auto" w:fill="FFFFFF"/>
        </w:rPr>
        <w:t>保护展示项目建设，促进产业转型升级</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筹建县文化旅游产业发展集团有限公司，进一步优化、整合、盘活涉旅国有平台公司文化旅游闲置低效资源，着眼延链、补链、强链，储备和推介一批优质文化旅游体育、数字创意产业项目。联合投融资机构、行业协会，依托杭州市</w:t>
      </w:r>
      <w:r>
        <w:rPr>
          <w:rFonts w:hint="eastAsia" w:ascii="仿宋_GB2312" w:hAnsi="仿宋_GB2312" w:eastAsia="仿宋_GB2312" w:cs="仿宋_GB2312"/>
          <w:color w:val="000000"/>
          <w:sz w:val="32"/>
          <w:szCs w:val="32"/>
          <w:shd w:val="clear" w:color="auto" w:fill="FFFFFF"/>
          <w:lang w:eastAsia="zh-CN"/>
        </w:rPr>
        <w:t>西湖</w:t>
      </w:r>
      <w:r>
        <w:rPr>
          <w:rFonts w:hint="eastAsia" w:ascii="仿宋_GB2312" w:hAnsi="仿宋_GB2312" w:eastAsia="仿宋_GB2312" w:cs="仿宋_GB2312"/>
          <w:color w:val="000000"/>
          <w:sz w:val="32"/>
          <w:szCs w:val="32"/>
          <w:shd w:val="clear" w:color="auto" w:fill="FFFFFF"/>
        </w:rPr>
        <w:t>区结对帮扶优势，集中力量引进一批国内知名企业、新型文旅企业。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b/>
          <w:bCs/>
          <w:kern w:val="2"/>
          <w:sz w:val="32"/>
          <w:szCs w:val="32"/>
          <w:lang w:val="en-US" w:eastAsia="zh-CN" w:bidi="ar-SA"/>
        </w:rPr>
        <w:t>第三部分：实施旅游目的地示范引领工程。</w:t>
      </w:r>
      <w:r>
        <w:rPr>
          <w:rFonts w:hint="eastAsia" w:ascii="仿宋" w:hAnsi="仿宋" w:eastAsia="仿宋" w:cs="仿宋"/>
          <w:b w:val="0"/>
          <w:bCs w:val="0"/>
          <w:snapToGrid w:val="0"/>
          <w:color w:val="auto"/>
          <w:kern w:val="0"/>
          <w:sz w:val="32"/>
          <w:szCs w:val="32"/>
          <w:lang w:val="en-US" w:eastAsia="zh-CN" w:bidi="ar-SA"/>
        </w:rPr>
        <w:t>分为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开发“三区一带多点”重点旅游资源、深入挖掘中华优秀传统文化、传承弘扬红色文化、建设生态休闲康养示范项目等四个方面。</w:t>
      </w:r>
      <w:r>
        <w:rPr>
          <w:rFonts w:hint="eastAsia" w:ascii="仿宋_GB2312" w:hAnsi="仿宋_GB2312" w:eastAsia="仿宋_GB2312" w:cs="仿宋_GB2312"/>
          <w:color w:val="000000"/>
          <w:sz w:val="32"/>
          <w:szCs w:val="32"/>
          <w:shd w:val="clear" w:color="auto" w:fill="FFFFFF"/>
        </w:rPr>
        <w:t>加强规划统筹、项目引领，依托</w:t>
      </w:r>
      <w:r>
        <w:rPr>
          <w:rFonts w:hint="eastAsia" w:ascii="仿宋_GB2312" w:hAnsi="仿宋_GB2312" w:eastAsia="仿宋_GB2312" w:cs="仿宋_GB2312"/>
          <w:color w:val="000000"/>
          <w:sz w:val="32"/>
          <w:szCs w:val="32"/>
          <w:shd w:val="clear" w:color="auto" w:fill="FFFFFF"/>
          <w:lang w:eastAsia="zh-CN"/>
        </w:rPr>
        <w:t>世界梨都，花海砀山独特的生态资源</w:t>
      </w:r>
      <w:r>
        <w:rPr>
          <w:rFonts w:hint="eastAsia" w:ascii="仿宋_GB2312" w:hAnsi="仿宋_GB2312" w:eastAsia="仿宋_GB2312" w:cs="仿宋_GB2312"/>
          <w:color w:val="000000"/>
          <w:sz w:val="32"/>
          <w:szCs w:val="32"/>
          <w:shd w:val="clear" w:color="auto" w:fill="FFFFFF"/>
        </w:rPr>
        <w:t>，充分挖掘县域历史、文化、生态、美食等特色资源，着力开发生命力强的大众旅游产品、体验性佳的互动旅游项目、创意性高的文旅融合业态、参与性广的节庆赛事活动、乡土情浓的乡村旅游精品、休憩人心的文旅设施</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b/>
          <w:bCs/>
          <w:kern w:val="2"/>
          <w:sz w:val="32"/>
          <w:szCs w:val="32"/>
          <w:lang w:val="en-US" w:eastAsia="zh-CN" w:bidi="ar-SA"/>
        </w:rPr>
        <w:t>第四部分：实施乡村休闲旅游精品示范工程。</w:t>
      </w:r>
      <w:r>
        <w:rPr>
          <w:rFonts w:hint="eastAsia" w:ascii="仿宋" w:hAnsi="仿宋" w:eastAsia="仿宋" w:cs="仿宋"/>
          <w:b w:val="0"/>
          <w:bCs w:val="0"/>
          <w:snapToGrid w:val="0"/>
          <w:color w:val="auto"/>
          <w:kern w:val="0"/>
          <w:sz w:val="32"/>
          <w:szCs w:val="32"/>
          <w:lang w:val="en-US" w:eastAsia="zh-CN" w:bidi="ar-SA"/>
        </w:rPr>
        <w:t>分为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推进乡村旅游重点突破、做强乡村旅游精品村、提升乡村旅游运营水平等三个方面。提出要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以农文旅融合发展为主攻方向</w:t>
      </w:r>
      <w:r>
        <w:rPr>
          <w:rFonts w:hint="eastAsia" w:ascii="仿宋_GB2312" w:hAnsi="仿宋_GB2312" w:eastAsia="仿宋_GB2312" w:cs="仿宋_GB2312"/>
          <w:color w:val="000000"/>
          <w:sz w:val="32"/>
          <w:szCs w:val="32"/>
          <w:shd w:val="clear" w:color="auto" w:fill="FFFFFF"/>
        </w:rPr>
        <w:t>，统筹谋划、一体推进、重点突破，加强休闲旅游发展、美丽乡村建设、传统村落保护</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推深做实《</w:t>
      </w:r>
      <w:r>
        <w:rPr>
          <w:rFonts w:hint="eastAsia" w:ascii="仿宋_GB2312" w:hAnsi="仿宋_GB2312" w:eastAsia="仿宋_GB2312" w:cs="仿宋_GB2312"/>
          <w:color w:val="000000"/>
          <w:sz w:val="32"/>
          <w:szCs w:val="32"/>
          <w:shd w:val="clear" w:color="auto" w:fill="FFFFFF"/>
          <w:lang w:eastAsia="zh-CN"/>
        </w:rPr>
        <w:t>安徽省</w:t>
      </w:r>
      <w:r>
        <w:rPr>
          <w:rFonts w:hint="eastAsia" w:ascii="仿宋_GB2312" w:hAnsi="仿宋_GB2312" w:eastAsia="仿宋_GB2312" w:cs="仿宋_GB2312"/>
          <w:color w:val="000000"/>
          <w:sz w:val="32"/>
          <w:szCs w:val="32"/>
          <w:shd w:val="clear" w:color="auto" w:fill="FFFFFF"/>
        </w:rPr>
        <w:t>乡村旅游高质量发展行动计划</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2022-2024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优选彰显地方特色、民俗风情的宜居宜业宜游和美乡村精品示范村、</w:t>
      </w:r>
      <w:r>
        <w:rPr>
          <w:rFonts w:hint="eastAsia" w:ascii="仿宋_GB2312" w:hAnsi="仿宋_GB2312" w:eastAsia="仿宋_GB2312" w:cs="仿宋_GB2312"/>
          <w:color w:val="000000"/>
          <w:sz w:val="32"/>
          <w:szCs w:val="32"/>
          <w:shd w:val="clear" w:color="auto" w:fill="FFFFFF"/>
        </w:rPr>
        <w:t>鼓励国有（集体）投资平台、知名旅游企业、社</w:t>
      </w:r>
      <w:bookmarkStart w:id="1" w:name="_GoBack"/>
      <w:bookmarkEnd w:id="1"/>
      <w:r>
        <w:rPr>
          <w:rFonts w:hint="eastAsia" w:ascii="仿宋_GB2312" w:hAnsi="仿宋_GB2312" w:eastAsia="仿宋_GB2312" w:cs="仿宋_GB2312"/>
          <w:color w:val="000000"/>
          <w:sz w:val="32"/>
          <w:szCs w:val="32"/>
          <w:shd w:val="clear" w:color="auto" w:fill="FFFFFF"/>
        </w:rPr>
        <w:t>会资本，通过租赁、联营、委托管理、设计施工运营一体化等模式，深度参与乡村旅游运营。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b/>
          <w:bCs/>
          <w:kern w:val="2"/>
          <w:sz w:val="32"/>
          <w:szCs w:val="32"/>
          <w:lang w:val="en-US" w:eastAsia="zh-CN" w:bidi="ar-SA"/>
        </w:rPr>
        <w:t>第五部分：实施旅游消费引导促进工程。</w:t>
      </w:r>
      <w:r>
        <w:rPr>
          <w:rFonts w:hint="eastAsia" w:ascii="仿宋" w:hAnsi="仿宋" w:eastAsia="仿宋" w:cs="仿宋"/>
          <w:b w:val="0"/>
          <w:bCs w:val="0"/>
          <w:snapToGrid w:val="0"/>
          <w:color w:val="auto"/>
          <w:kern w:val="0"/>
          <w:sz w:val="32"/>
          <w:szCs w:val="32"/>
          <w:lang w:val="en-US" w:eastAsia="zh-CN" w:bidi="ar-SA"/>
        </w:rPr>
        <w:t>分为</w:t>
      </w:r>
      <w:r>
        <w:rPr>
          <w:rFonts w:hint="eastAsia" w:ascii="仿宋_GB2312" w:hAnsi="仿宋_GB2312" w:eastAsia="仿宋_GB2312" w:cs="仿宋_GB2312"/>
          <w:color w:val="000000"/>
          <w:kern w:val="2"/>
          <w:sz w:val="32"/>
          <w:szCs w:val="32"/>
          <w:shd w:val="clear" w:color="auto" w:fill="FFFFFF"/>
          <w:lang w:val="en-US" w:eastAsia="zh-CN" w:bidi="ar-SA"/>
        </w:rPr>
        <w:t>延伸旅游产业链消费链、打造旅游新业态新模式、优化大众旅游消费环境等三个方面。提出顺应旅游消费升级和发</w:t>
      </w:r>
      <w:r>
        <w:rPr>
          <w:rFonts w:hint="eastAsia" w:ascii="仿宋_GB2312" w:hAnsi="仿宋_GB2312" w:eastAsia="仿宋_GB2312" w:cs="仿宋_GB2312"/>
          <w:color w:val="000000"/>
          <w:sz w:val="32"/>
          <w:szCs w:val="32"/>
          <w:shd w:val="clear" w:color="auto" w:fill="FFFFFF"/>
        </w:rPr>
        <w:t>展阶段变化，积极发展周边游、近郊游、短途游、微度假等新业态</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推广</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商业+旅游</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模式，大力发展夜食、夜购、夜游、夜娱、夜读、夜展等业态</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全面落实带薪休假、职工疗休养制度，鼓励弹性作息，为职工周五下午与周末结合外出休闲度假创造有利条件。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b/>
          <w:bCs/>
          <w:kern w:val="2"/>
          <w:sz w:val="32"/>
          <w:szCs w:val="32"/>
          <w:lang w:val="en-US" w:eastAsia="zh-CN" w:bidi="ar-SA"/>
        </w:rPr>
        <w:t>第六部分：实施旅游品牌传播工程。</w:t>
      </w:r>
      <w:r>
        <w:rPr>
          <w:rFonts w:hint="eastAsia" w:ascii="仿宋" w:hAnsi="仿宋" w:eastAsia="仿宋" w:cs="仿宋"/>
          <w:b w:val="0"/>
          <w:bCs w:val="0"/>
          <w:snapToGrid w:val="0"/>
          <w:color w:val="auto"/>
          <w:kern w:val="0"/>
          <w:sz w:val="32"/>
          <w:szCs w:val="32"/>
          <w:lang w:val="en-US" w:eastAsia="zh-CN" w:bidi="ar-SA"/>
        </w:rPr>
        <w:t>分为</w:t>
      </w:r>
      <w:r>
        <w:rPr>
          <w:rFonts w:hint="eastAsia" w:ascii="仿宋_GB2312" w:hAnsi="仿宋_GB2312" w:eastAsia="仿宋_GB2312" w:cs="仿宋_GB2312"/>
          <w:color w:val="000000"/>
          <w:sz w:val="32"/>
          <w:szCs w:val="32"/>
          <w:shd w:val="clear" w:color="auto" w:fill="FFFFFF"/>
          <w:lang w:val="en-US" w:eastAsia="zh-CN"/>
        </w:rPr>
        <w:t>强化传播策划、创新营销方式、实施“引客入砀”行动、提升打造节庆品牌等四个方面。</w:t>
      </w:r>
      <w:r>
        <w:rPr>
          <w:rFonts w:hint="eastAsia" w:ascii="仿宋_GB2312" w:hAnsi="仿宋_GB2312" w:eastAsia="仿宋_GB2312" w:cs="仿宋_GB2312"/>
          <w:color w:val="000000"/>
          <w:sz w:val="32"/>
          <w:szCs w:val="32"/>
          <w:shd w:val="clear" w:color="auto" w:fill="FFFFFF"/>
        </w:rPr>
        <w:t>焦扩大“</w:t>
      </w:r>
      <w:r>
        <w:rPr>
          <w:rFonts w:hint="eastAsia" w:ascii="仿宋_GB2312" w:hAnsi="仿宋_GB2312" w:eastAsia="仿宋_GB2312" w:cs="仿宋_GB2312"/>
          <w:color w:val="000000"/>
          <w:sz w:val="32"/>
          <w:szCs w:val="32"/>
          <w:shd w:val="clear" w:color="auto" w:fill="FFFFFF"/>
          <w:lang w:eastAsia="zh-CN"/>
        </w:rPr>
        <w:t>世界梨都</w:t>
      </w:r>
      <w:r>
        <w:rPr>
          <w:rFonts w:hint="eastAsia" w:ascii="仿宋_GB2312" w:hAnsi="仿宋_GB2312" w:eastAsia="仿宋_GB2312" w:cs="仿宋_GB2312"/>
          <w:color w:val="000000"/>
          <w:sz w:val="32"/>
          <w:szCs w:val="32"/>
          <w:shd w:val="clear" w:color="auto" w:fill="FFFFFF"/>
          <w:lang w:val="en-US" w:eastAsia="zh-CN"/>
        </w:rPr>
        <w:t xml:space="preserve"> 花海砀山</w:t>
      </w:r>
      <w:r>
        <w:rPr>
          <w:rFonts w:hint="eastAsia" w:ascii="仿宋_GB2312" w:hAnsi="仿宋_GB2312" w:eastAsia="仿宋_GB2312" w:cs="仿宋_GB2312"/>
          <w:color w:val="000000"/>
          <w:sz w:val="32"/>
          <w:szCs w:val="32"/>
          <w:shd w:val="clear" w:color="auto" w:fill="FFFFFF"/>
        </w:rPr>
        <w:t>”品牌影响力，瞄准300公里交通圈重点客源市场，策划重大营销推介活动，组织区域性文旅展会，讲好“</w:t>
      </w:r>
      <w:r>
        <w:rPr>
          <w:rFonts w:hint="eastAsia" w:ascii="仿宋_GB2312" w:hAnsi="仿宋_GB2312" w:eastAsia="仿宋_GB2312" w:cs="仿宋_GB2312"/>
          <w:color w:val="000000"/>
          <w:sz w:val="32"/>
          <w:szCs w:val="32"/>
          <w:shd w:val="clear" w:color="auto" w:fill="FFFFFF"/>
          <w:lang w:eastAsia="zh-CN"/>
        </w:rPr>
        <w:t>砀山</w:t>
      </w:r>
      <w:r>
        <w:rPr>
          <w:rFonts w:hint="eastAsia" w:ascii="仿宋_GB2312" w:hAnsi="仿宋_GB2312" w:eastAsia="仿宋_GB2312" w:cs="仿宋_GB2312"/>
          <w:color w:val="000000"/>
          <w:sz w:val="32"/>
          <w:szCs w:val="32"/>
          <w:shd w:val="clear" w:color="auto" w:fill="FFFFFF"/>
        </w:rPr>
        <w:t>故事”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建立上下联动、区域联合、政企互动的市场开发工作机制。运用大数据技术，精准分析客源，优化引客策略。深化地区间政商企多层次合作，推进产品互联、游客互送，深度开发长三角客源市场，大力开发淮海经济区和中原经济区客源市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Chars="0"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第七部分：实施旅游服务升级工程。</w:t>
      </w:r>
      <w:r>
        <w:rPr>
          <w:rFonts w:hint="eastAsia" w:ascii="仿宋" w:hAnsi="仿宋" w:eastAsia="仿宋" w:cs="仿宋"/>
          <w:b w:val="0"/>
          <w:bCs w:val="0"/>
          <w:snapToGrid w:val="0"/>
          <w:color w:val="auto"/>
          <w:kern w:val="0"/>
          <w:sz w:val="32"/>
          <w:szCs w:val="32"/>
          <w:lang w:val="en-US" w:eastAsia="zh-CN" w:bidi="ar-SA"/>
        </w:rPr>
        <w:t>分为</w:t>
      </w:r>
      <w:r>
        <w:rPr>
          <w:rFonts w:hint="eastAsia" w:ascii="仿宋_GB2312" w:hAnsi="仿宋_GB2312" w:eastAsia="仿宋_GB2312" w:cs="仿宋_GB2312"/>
          <w:color w:val="000000"/>
          <w:sz w:val="32"/>
          <w:szCs w:val="32"/>
          <w:shd w:val="clear" w:color="auto" w:fill="FFFFFF"/>
          <w:lang w:val="en-US" w:eastAsia="zh-CN"/>
        </w:rPr>
        <w:t>推动旅游交通便捷化、推动旅游服务智慧化、推动旅游监管精细化等三个方面。提出</w:t>
      </w:r>
      <w:r>
        <w:rPr>
          <w:rFonts w:hint="eastAsia" w:ascii="仿宋_GB2312" w:hAnsi="仿宋_GB2312" w:eastAsia="仿宋_GB2312" w:cs="仿宋_GB2312"/>
          <w:color w:val="000000"/>
          <w:sz w:val="32"/>
          <w:szCs w:val="32"/>
          <w:shd w:val="clear" w:color="auto" w:fill="FFFFFF"/>
        </w:rPr>
        <w:t>有序开通旅游班线车、旅游直通车等公共交通产品，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提升各地游客来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便捷度</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sz w:val="32"/>
          <w:szCs w:val="32"/>
          <w:shd w:val="clear" w:color="auto" w:fill="FFFFFF"/>
        </w:rPr>
        <w:t>实施数字赋能行动，加强云计算、物联网、人工智能等技术应用，打造</w:t>
      </w:r>
      <w:r>
        <w:rPr>
          <w:rFonts w:hint="eastAsia" w:ascii="仿宋_GB2312" w:hAnsi="仿宋_GB2312" w:eastAsia="仿宋_GB2312" w:cs="仿宋_GB2312"/>
          <w:color w:val="000000"/>
          <w:sz w:val="32"/>
          <w:szCs w:val="32"/>
          <w:shd w:val="clear" w:color="auto" w:fill="FFFFFF"/>
          <w:lang w:val="en-US" w:eastAsia="zh-CN"/>
        </w:rPr>
        <w:t>智慧景区、智慧场馆、</w:t>
      </w:r>
      <w:r>
        <w:rPr>
          <w:rFonts w:hint="eastAsia" w:ascii="仿宋_GB2312" w:hAnsi="仿宋_GB2312" w:eastAsia="仿宋_GB2312" w:cs="仿宋_GB2312"/>
          <w:color w:val="000000"/>
          <w:sz w:val="32"/>
          <w:szCs w:val="32"/>
          <w:shd w:val="clear" w:color="auto" w:fill="FFFFFF"/>
        </w:rPr>
        <w:t>落实《中华人民共和国旅游法》《安徽省旅游条例》《宿州市旅游促进条例》等，提高</w:t>
      </w:r>
      <w:r>
        <w:rPr>
          <w:rFonts w:hint="eastAsia" w:ascii="仿宋_GB2312" w:hAnsi="仿宋_GB2312" w:eastAsia="仿宋_GB2312" w:cs="仿宋_GB2312"/>
          <w:color w:val="000000"/>
          <w:sz w:val="32"/>
          <w:szCs w:val="32"/>
          <w:shd w:val="clear" w:color="auto" w:fill="FFFFFF"/>
          <w:lang w:eastAsia="zh-CN"/>
        </w:rPr>
        <w:t>旅游产业发展法治化</w:t>
      </w:r>
      <w:r>
        <w:rPr>
          <w:rFonts w:hint="eastAsia" w:ascii="仿宋_GB2312" w:hAnsi="仿宋_GB2312" w:eastAsia="仿宋_GB2312" w:cs="仿宋_GB2312"/>
          <w:color w:val="000000"/>
          <w:sz w:val="32"/>
          <w:szCs w:val="32"/>
          <w:shd w:val="clear" w:color="auto" w:fill="FFFFFF"/>
        </w:rPr>
        <w:t>水平。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b/>
          <w:bCs/>
          <w:kern w:val="2"/>
          <w:sz w:val="32"/>
          <w:szCs w:val="32"/>
          <w:lang w:val="en-US" w:eastAsia="zh-CN" w:bidi="ar-SA"/>
        </w:rPr>
        <w:t>第八部分：加强政策支持。</w:t>
      </w:r>
      <w:r>
        <w:rPr>
          <w:rFonts w:hint="eastAsia" w:ascii="仿宋" w:hAnsi="仿宋" w:eastAsia="仿宋" w:cs="仿宋"/>
          <w:b w:val="0"/>
          <w:bCs w:val="0"/>
          <w:snapToGrid w:val="0"/>
          <w:color w:val="auto"/>
          <w:kern w:val="0"/>
          <w:sz w:val="32"/>
          <w:szCs w:val="32"/>
          <w:lang w:val="en-US" w:eastAsia="zh-CN" w:bidi="ar-SA"/>
        </w:rPr>
        <w:t>分为</w:t>
      </w:r>
      <w:r>
        <w:rPr>
          <w:rFonts w:hint="eastAsia" w:ascii="仿宋_GB2312" w:hAnsi="仿宋_GB2312" w:eastAsia="仿宋_GB2312" w:cs="仿宋_GB2312"/>
          <w:color w:val="000000"/>
          <w:sz w:val="32"/>
          <w:szCs w:val="32"/>
          <w:shd w:val="clear" w:color="auto" w:fill="FFFFFF"/>
          <w:lang w:val="en-US" w:eastAsia="zh-CN"/>
        </w:rPr>
        <w:t>提出加强资金支持、拓宽融资渠道、</w:t>
      </w:r>
      <w:r>
        <w:rPr>
          <w:rFonts w:hint="eastAsia" w:ascii="仿宋_GB2312" w:hAnsi="仿宋_GB2312" w:eastAsia="仿宋_GB2312" w:cs="仿宋_GB2312"/>
          <w:color w:val="000000"/>
          <w:sz w:val="32"/>
          <w:szCs w:val="32"/>
          <w:shd w:val="clear" w:color="auto" w:fill="FFFFFF"/>
        </w:rPr>
        <w:t>保障项目用地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加强人才队伍建设</w:t>
      </w:r>
      <w:r>
        <w:rPr>
          <w:rFonts w:hint="eastAsia" w:ascii="仿宋_GB2312" w:hAnsi="仿宋_GB2312" w:eastAsia="仿宋_GB2312" w:cs="仿宋_GB2312"/>
          <w:color w:val="000000"/>
          <w:sz w:val="32"/>
          <w:szCs w:val="32"/>
          <w:shd w:val="clear" w:color="auto" w:fill="FFFFFF"/>
          <w:lang w:eastAsia="zh-CN"/>
        </w:rPr>
        <w:t>等四个面分别提出要</w:t>
      </w:r>
      <w:r>
        <w:rPr>
          <w:rFonts w:hint="eastAsia" w:ascii="仿宋_GB2312" w:hAnsi="仿宋_GB2312" w:eastAsia="仿宋_GB2312" w:cs="仿宋_GB2312"/>
          <w:color w:val="000000"/>
          <w:sz w:val="32"/>
          <w:szCs w:val="32"/>
          <w:shd w:val="clear" w:color="auto" w:fill="FFFFFF"/>
        </w:rPr>
        <w:t>按照零基预算要求，</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财政每年统筹安排支持旅游发展资金不少于</w:t>
      </w:r>
      <w:r>
        <w:rPr>
          <w:rFonts w:hint="eastAsia" w:ascii="仿宋_GB2312" w:hAnsi="仿宋_GB2312" w:eastAsia="仿宋_GB2312" w:cs="仿宋_GB2312"/>
          <w:color w:val="000000"/>
          <w:sz w:val="32"/>
          <w:szCs w:val="32"/>
          <w:shd w:val="clear" w:color="auto" w:fill="FFFFFF"/>
          <w:lang w:val="en-US" w:eastAsia="zh-CN"/>
        </w:rPr>
        <w:t>500</w:t>
      </w:r>
      <w:r>
        <w:rPr>
          <w:rFonts w:hint="eastAsia" w:ascii="仿宋_GB2312" w:hAnsi="仿宋_GB2312" w:eastAsia="仿宋_GB2312" w:cs="仿宋_GB2312"/>
          <w:color w:val="000000"/>
          <w:sz w:val="32"/>
          <w:szCs w:val="32"/>
          <w:shd w:val="clear" w:color="auto" w:fill="FFFFFF"/>
        </w:rPr>
        <w:t>万元用于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旅游发展工作、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文物保护工作、非遗传承工作</w:t>
      </w:r>
      <w:r>
        <w:rPr>
          <w:rFonts w:hint="eastAsia" w:ascii="仿宋_GB2312" w:hAnsi="仿宋_GB2312" w:eastAsia="仿宋_GB2312" w:cs="仿宋_GB2312"/>
          <w:color w:val="000000"/>
          <w:sz w:val="32"/>
          <w:szCs w:val="32"/>
          <w:shd w:val="clear" w:color="auto" w:fill="FFFFFF"/>
        </w:rPr>
        <w:t>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支持符合条件的旅游项目申报发行政府专项债券，提升旅游项目资产证券化水平</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将旅游项目发展用地纳入国土空间规划，将</w:t>
      </w:r>
      <w:r>
        <w:rPr>
          <w:rFonts w:hint="eastAsia" w:ascii="仿宋_GB2312" w:hAnsi="仿宋_GB2312" w:eastAsia="仿宋_GB2312" w:cs="仿宋_GB2312"/>
          <w:color w:val="000000"/>
          <w:sz w:val="32"/>
          <w:szCs w:val="32"/>
          <w:shd w:val="clear" w:color="auto" w:fill="FFFFFF"/>
          <w:lang w:val="en-US" w:eastAsia="zh-CN"/>
        </w:rPr>
        <w:t>镇（园区）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国土空间规划</w:t>
      </w:r>
      <w:r>
        <w:rPr>
          <w:rFonts w:hint="eastAsia" w:ascii="仿宋_GB2312" w:hAnsi="仿宋_GB2312" w:eastAsia="仿宋_GB2312" w:cs="仿宋_GB2312"/>
          <w:color w:val="000000"/>
          <w:sz w:val="32"/>
          <w:szCs w:val="32"/>
          <w:shd w:val="clear" w:color="auto" w:fill="FFFFFF"/>
        </w:rPr>
        <w:t>中预留的不超过5%的建设用地机动指标，用于支持乡村旅游等项目建设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将旅游人才纳入各级人才队伍建设规划，建立旅游人才激励机制，引进高层次和急需紧缺人才。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Chars="0"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第九部分：加强组织领导。</w:t>
      </w:r>
      <w:r>
        <w:rPr>
          <w:rFonts w:hint="eastAsia" w:ascii="仿宋_GB2312" w:hAnsi="仿宋_GB2312" w:eastAsia="仿宋_GB2312" w:cs="仿宋_GB2312"/>
          <w:color w:val="000000"/>
          <w:sz w:val="32"/>
          <w:szCs w:val="32"/>
          <w:shd w:val="clear" w:color="auto" w:fill="FFFFFF"/>
          <w:lang w:val="en-US" w:eastAsia="zh-CN"/>
        </w:rPr>
        <w:t>一是</w:t>
      </w:r>
      <w:r>
        <w:rPr>
          <w:rFonts w:hint="eastAsia" w:ascii="仿宋_GB2312" w:hAnsi="仿宋_GB2312" w:eastAsia="仿宋_GB2312" w:cs="仿宋_GB2312"/>
          <w:color w:val="000000"/>
          <w:sz w:val="32"/>
          <w:szCs w:val="32"/>
          <w:shd w:val="clear" w:color="auto" w:fill="FFFFFF"/>
        </w:rPr>
        <w:t>健全领导机制。</w:t>
      </w:r>
      <w:r>
        <w:rPr>
          <w:rFonts w:hint="eastAsia" w:ascii="仿宋_GB2312" w:hAnsi="仿宋_GB2312" w:eastAsia="仿宋_GB2312" w:cs="仿宋_GB2312"/>
          <w:color w:val="000000"/>
          <w:sz w:val="32"/>
          <w:szCs w:val="32"/>
          <w:shd w:val="clear" w:color="auto" w:fill="FFFFFF"/>
          <w:lang w:val="en-US" w:eastAsia="zh-CN"/>
        </w:rPr>
        <w:t>成立砀山县</w:t>
      </w:r>
      <w:r>
        <w:rPr>
          <w:rFonts w:hint="eastAsia" w:ascii="仿宋_GB2312" w:hAnsi="仿宋_GB2312" w:eastAsia="仿宋_GB2312" w:cs="仿宋_GB2312"/>
          <w:color w:val="000000"/>
          <w:sz w:val="32"/>
          <w:szCs w:val="32"/>
          <w:shd w:val="clear" w:color="auto" w:fill="FFFFFF"/>
        </w:rPr>
        <w:t>加快建设高品质旅游强</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工作领导小组，统筹协调全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旅游业发展中的重要问题</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lang w:val="en-US" w:eastAsia="zh-CN"/>
        </w:rPr>
        <w:t>是强化考核激励。</w:t>
      </w:r>
      <w:r>
        <w:rPr>
          <w:rFonts w:hint="eastAsia" w:ascii="仿宋_GB2312" w:hAnsi="仿宋_GB2312" w:eastAsia="仿宋_GB2312" w:cs="仿宋_GB2312"/>
          <w:color w:val="000000"/>
          <w:sz w:val="32"/>
          <w:szCs w:val="32"/>
          <w:shd w:val="clear" w:color="auto" w:fill="FFFFFF"/>
        </w:rPr>
        <w:t>将旅游业高质量发展纳入</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委对各</w:t>
      </w:r>
      <w:r>
        <w:rPr>
          <w:rFonts w:hint="eastAsia" w:ascii="仿宋_GB2312" w:hAnsi="仿宋_GB2312" w:eastAsia="仿宋_GB2312" w:cs="仿宋_GB2312"/>
          <w:color w:val="000000"/>
          <w:sz w:val="32"/>
          <w:szCs w:val="32"/>
          <w:shd w:val="clear" w:color="auto" w:fill="FFFFFF"/>
          <w:lang w:val="en-US" w:eastAsia="zh-CN"/>
        </w:rPr>
        <w:t>镇（园区）及县</w:t>
      </w:r>
      <w:r>
        <w:rPr>
          <w:rFonts w:hint="eastAsia" w:ascii="仿宋_GB2312" w:hAnsi="仿宋_GB2312" w:eastAsia="仿宋_GB2312" w:cs="仿宋_GB2312"/>
          <w:color w:val="000000"/>
          <w:sz w:val="32"/>
          <w:szCs w:val="32"/>
          <w:shd w:val="clear" w:color="auto" w:fill="FFFFFF"/>
        </w:rPr>
        <w:t>直有关单位领导班子年度考核和</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政府目标管理绩效考核</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建立健全旅游业高质量发展评价指标体系和统计体系。</w:t>
      </w:r>
    </w:p>
    <w:p>
      <w:pPr>
        <w:keepNext w:val="0"/>
        <w:keepLines w:val="0"/>
        <w:pageBreakBefore w:val="0"/>
        <w:widowControl w:val="0"/>
        <w:numPr>
          <w:ilvl w:val="0"/>
          <w:numId w:val="0"/>
        </w:numPr>
        <w:kinsoku/>
        <w:wordWrap/>
        <w:topLinePunct w:val="0"/>
        <w:autoSpaceDE/>
        <w:autoSpaceDN/>
        <w:bidi w:val="0"/>
        <w:snapToGrid w:val="0"/>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157EE7-D846-4EBB-BB80-EEAE426EF2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7FD05B2-57A1-41AB-A4D4-15178C3D0241}"/>
  </w:font>
  <w:font w:name="仿宋_GB2312">
    <w:altName w:val="仿宋"/>
    <w:panose1 w:val="02010609030101010101"/>
    <w:charset w:val="86"/>
    <w:family w:val="modern"/>
    <w:pitch w:val="default"/>
    <w:sig w:usb0="00000000" w:usb1="00000000" w:usb2="00000000" w:usb3="00000000" w:csb0="00040000" w:csb1="00000000"/>
    <w:embedRegular r:id="rId3" w:fontKey="{DF56DEAB-41BB-46F4-B81B-3795D7F85209}"/>
  </w:font>
  <w:font w:name="仿宋">
    <w:panose1 w:val="02010609060101010101"/>
    <w:charset w:val="86"/>
    <w:family w:val="auto"/>
    <w:pitch w:val="default"/>
    <w:sig w:usb0="800002BF" w:usb1="38CF7CFA" w:usb2="00000016" w:usb3="00000000" w:csb0="00040001" w:csb1="00000000"/>
    <w:embedRegular r:id="rId4" w:fontKey="{9F595A50-8F1E-4ECA-A00A-0ADD04E3B80D}"/>
  </w:font>
  <w:font w:name="楷体">
    <w:panose1 w:val="02010609060101010101"/>
    <w:charset w:val="86"/>
    <w:family w:val="auto"/>
    <w:pitch w:val="default"/>
    <w:sig w:usb0="800002BF" w:usb1="38CF7CFA" w:usb2="00000016" w:usb3="00000000" w:csb0="00040001" w:csb1="00000000"/>
    <w:embedRegular r:id="rId5" w:fontKey="{152BD9AB-7416-4EE5-BFF8-580C8933C2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MmUzZmI3NDVlMDljMWUwMTk2MjkxYjUzNjM5OTQifQ=="/>
  </w:docVars>
  <w:rsids>
    <w:rsidRoot w:val="19B31836"/>
    <w:rsid w:val="013E0DEB"/>
    <w:rsid w:val="06FF01C2"/>
    <w:rsid w:val="08FF26FB"/>
    <w:rsid w:val="09936B60"/>
    <w:rsid w:val="09D96951"/>
    <w:rsid w:val="0C20560E"/>
    <w:rsid w:val="0D1129FD"/>
    <w:rsid w:val="0D16652A"/>
    <w:rsid w:val="13AF2681"/>
    <w:rsid w:val="143D6344"/>
    <w:rsid w:val="14EB4E9E"/>
    <w:rsid w:val="197E141A"/>
    <w:rsid w:val="19B31836"/>
    <w:rsid w:val="1AAB53BB"/>
    <w:rsid w:val="1BB9498B"/>
    <w:rsid w:val="1BC05CE4"/>
    <w:rsid w:val="1BD141B1"/>
    <w:rsid w:val="1E0E2B0B"/>
    <w:rsid w:val="20D564EE"/>
    <w:rsid w:val="23EB6BEB"/>
    <w:rsid w:val="2519649B"/>
    <w:rsid w:val="29785F1E"/>
    <w:rsid w:val="2A4C2E6E"/>
    <w:rsid w:val="2BFB1CB9"/>
    <w:rsid w:val="2CF03F85"/>
    <w:rsid w:val="2E4A5917"/>
    <w:rsid w:val="385C6972"/>
    <w:rsid w:val="39511E95"/>
    <w:rsid w:val="39FA6443"/>
    <w:rsid w:val="3F681B16"/>
    <w:rsid w:val="42984A4B"/>
    <w:rsid w:val="435A7F52"/>
    <w:rsid w:val="43BE56FA"/>
    <w:rsid w:val="441E71D2"/>
    <w:rsid w:val="4439400C"/>
    <w:rsid w:val="48FD430A"/>
    <w:rsid w:val="49627B61"/>
    <w:rsid w:val="4CDA6FC5"/>
    <w:rsid w:val="50CE26AB"/>
    <w:rsid w:val="531540B7"/>
    <w:rsid w:val="55C23E61"/>
    <w:rsid w:val="562A4375"/>
    <w:rsid w:val="57723665"/>
    <w:rsid w:val="57E81D32"/>
    <w:rsid w:val="5BA30291"/>
    <w:rsid w:val="5C272C70"/>
    <w:rsid w:val="5C4E7382"/>
    <w:rsid w:val="5DAF5613"/>
    <w:rsid w:val="5FA6034F"/>
    <w:rsid w:val="697349CF"/>
    <w:rsid w:val="69DF4B8A"/>
    <w:rsid w:val="6F2F0361"/>
    <w:rsid w:val="7000585A"/>
    <w:rsid w:val="74035919"/>
    <w:rsid w:val="772D61D9"/>
    <w:rsid w:val="79751F7C"/>
    <w:rsid w:val="7AEE7323"/>
    <w:rsid w:val="7C3074C7"/>
    <w:rsid w:val="7E86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uppressAutoHyphens/>
      <w:spacing w:line="360" w:lineRule="auto"/>
      <w:ind w:left="420"/>
    </w:pPr>
    <w:rPr>
      <w:szCs w:val="20"/>
    </w:rPr>
  </w:style>
  <w:style w:type="paragraph" w:styleId="3">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2021-07-19T03:27:00Z</dcterms:created>
  <dc:creator>。</dc:creator>
  <cp:lastModifiedBy>商月月15856914459</cp:lastModifiedBy>
  <cp:lastPrinted>2023-12-19T01:52:00Z</cp:lastPrinted>
  <dcterms:modified xsi:type="dcterms:W3CDTF">2023-12-28T09:39:24Z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4DA28DBAA0C847AB92D5834E129B2B5B_13</vt:lpwstr>
  </property>
</Properties>
</file>