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color w:val="000000"/>
          <w:sz w:val="32"/>
        </w:rPr>
      </w:pPr>
    </w:p>
    <w:p>
      <w:pPr>
        <w:jc w:val="both"/>
        <w:rPr>
          <w:rFonts w:ascii="仿宋_GB2312" w:hAnsi="仿宋" w:eastAsia="仿宋_GB2312"/>
          <w:color w:val="000000"/>
          <w:sz w:val="32"/>
        </w:rPr>
      </w:pPr>
    </w:p>
    <w:p>
      <w:pPr>
        <w:rPr>
          <w:rFonts w:ascii="方正小标宋简体" w:hAnsi="方正小标宋_GBK" w:eastAsia="方正小标宋简体" w:cs="方正小标宋_GBK"/>
          <w:bCs/>
          <w:color w:val="000000"/>
          <w:sz w:val="56"/>
        </w:rPr>
      </w:pPr>
    </w:p>
    <w:p>
      <w:pPr>
        <w:spacing w:before="156" w:beforeLines="50" w:line="360" w:lineRule="auto"/>
        <w:jc w:val="center"/>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rPr>
        <w:t>砀山县人民政府</w:t>
      </w:r>
    </w:p>
    <w:p>
      <w:pPr>
        <w:spacing w:before="156" w:beforeLines="50" w:line="360" w:lineRule="auto"/>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中国电信股份有限公司宿州分公司</w:t>
      </w:r>
    </w:p>
    <w:p>
      <w:pPr>
        <w:spacing w:before="156" w:beforeLines="50" w:line="360" w:lineRule="auto"/>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“工业互联网”战略合作协议</w:t>
      </w:r>
    </w:p>
    <w:p>
      <w:pPr>
        <w:ind w:firstLine="420"/>
        <w:rPr>
          <w:rFonts w:hint="eastAsia" w:ascii="方正小标宋简体" w:hAnsi="方正小标宋简体" w:eastAsia="方正小标宋简体" w:cs="方正小标宋简体"/>
          <w:b/>
          <w:color w:val="000000"/>
          <w:sz w:val="44"/>
          <w:szCs w:val="44"/>
        </w:rPr>
      </w:pPr>
    </w:p>
    <w:p>
      <w:pPr>
        <w:jc w:val="center"/>
        <w:rPr>
          <w:rFonts w:hint="eastAsia" w:ascii="方正小标宋简体" w:hAnsi="方正小标宋简体" w:eastAsia="方正小标宋简体" w:cs="方正小标宋简体"/>
          <w:b/>
          <w:color w:val="000000"/>
          <w:sz w:val="44"/>
          <w:szCs w:val="44"/>
        </w:rPr>
      </w:pPr>
      <w:bookmarkStart w:id="0" w:name="_GoBack"/>
      <w:bookmarkEnd w:id="0"/>
    </w:p>
    <w:p>
      <w:pPr>
        <w:spacing w:line="580" w:lineRule="exact"/>
        <w:jc w:val="center"/>
        <w:rPr>
          <w:rFonts w:hint="eastAsia" w:ascii="方正小标宋简体" w:hAnsi="方正小标宋简体" w:eastAsia="方正小标宋简体" w:cs="方正小标宋简体"/>
          <w:color w:val="000000"/>
          <w:sz w:val="44"/>
          <w:szCs w:val="44"/>
        </w:rPr>
      </w:pPr>
    </w:p>
    <w:p>
      <w:pPr>
        <w:spacing w:line="580" w:lineRule="exact"/>
        <w:jc w:val="center"/>
        <w:rPr>
          <w:rFonts w:hint="eastAsia" w:ascii="方正小标宋简体" w:hAnsi="方正小标宋简体" w:eastAsia="方正小标宋简体" w:cs="方正小标宋简体"/>
          <w:color w:val="000000"/>
          <w:sz w:val="44"/>
          <w:szCs w:val="44"/>
        </w:rPr>
      </w:pPr>
    </w:p>
    <w:p>
      <w:pPr>
        <w:spacing w:line="580" w:lineRule="exact"/>
        <w:jc w:val="center"/>
        <w:rPr>
          <w:rFonts w:hint="eastAsia" w:ascii="方正小标宋简体" w:hAnsi="方正小标宋简体" w:eastAsia="方正小标宋简体" w:cs="方正小标宋简体"/>
          <w:color w:val="000000"/>
          <w:sz w:val="44"/>
          <w:szCs w:val="44"/>
        </w:rPr>
      </w:pPr>
    </w:p>
    <w:p>
      <w:pPr>
        <w:spacing w:line="580" w:lineRule="exact"/>
        <w:jc w:val="center"/>
        <w:rPr>
          <w:rFonts w:hint="eastAsia" w:ascii="方正小标宋简体" w:hAnsi="方正小标宋简体" w:eastAsia="方正小标宋简体" w:cs="方正小标宋简体"/>
          <w:color w:val="000000"/>
          <w:sz w:val="44"/>
          <w:szCs w:val="44"/>
        </w:rPr>
      </w:pPr>
    </w:p>
    <w:p>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2023年3月</w:t>
      </w:r>
    </w:p>
    <w:p>
      <w:pPr>
        <w:spacing w:line="560" w:lineRule="exact"/>
        <w:ind w:firstLine="640" w:firstLineChars="200"/>
        <w:jc w:val="center"/>
        <w:outlineLvl w:val="0"/>
        <w:rPr>
          <w:rFonts w:ascii="仿宋_GB2312" w:hAnsi="微软雅黑" w:eastAsia="仿宋_GB2312"/>
          <w:color w:val="000000"/>
          <w:sz w:val="32"/>
          <w:szCs w:val="26"/>
          <w:shd w:val="clear" w:color="auto" w:fill="FFFFFF"/>
        </w:rPr>
      </w:pPr>
    </w:p>
    <w:p>
      <w:pPr>
        <w:spacing w:after="0" w:line="580" w:lineRule="atLeast"/>
        <w:jc w:val="both"/>
        <w:rPr>
          <w:rFonts w:ascii="仿宋_GB2312" w:hAnsi="仿宋_GB2312" w:eastAsia="仿宋_GB2312" w:cs="仿宋_GB2312"/>
          <w:color w:val="000000"/>
          <w:sz w:val="32"/>
          <w:szCs w:val="32"/>
        </w:rPr>
      </w:pPr>
    </w:p>
    <w:p>
      <w:pPr>
        <w:spacing w:after="0" w:line="580" w:lineRule="atLeast"/>
        <w:jc w:val="both"/>
        <w:rPr>
          <w:rFonts w:ascii="仿宋_GB2312" w:hAnsi="仿宋_GB2312" w:eastAsia="仿宋_GB2312" w:cs="仿宋_GB2312"/>
          <w:color w:val="000000"/>
          <w:sz w:val="32"/>
          <w:szCs w:val="32"/>
        </w:rPr>
        <w:sectPr>
          <w:headerReference r:id="rId4" w:type="default"/>
          <w:pgSz w:w="11906" w:h="16838"/>
          <w:pgMar w:top="1417" w:right="1531" w:bottom="1417" w:left="1531" w:header="851" w:footer="992" w:gutter="0"/>
          <w:cols w:space="720" w:num="1"/>
          <w:docGrid w:type="lines" w:linePitch="312" w:charSpace="0"/>
        </w:sectPr>
      </w:pPr>
    </w:p>
    <w:p>
      <w:pPr>
        <w:spacing w:after="0" w:line="560" w:lineRule="exact"/>
        <w:jc w:val="both"/>
        <w:rPr>
          <w:rFonts w:hint="eastAsia" w:ascii="方正仿宋简体" w:hAnsi="方正仿宋简体" w:eastAsia="方正仿宋简体" w:cs="方正仿宋简体"/>
          <w:color w:val="000000"/>
          <w:sz w:val="32"/>
          <w:szCs w:val="32"/>
        </w:rPr>
      </w:pPr>
    </w:p>
    <w:p>
      <w:pPr>
        <w:spacing w:after="0" w:line="560" w:lineRule="exact"/>
        <w:jc w:val="both"/>
        <w:rPr>
          <w:rFonts w:hint="eastAsia"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甲方：</w:t>
      </w:r>
      <w:r>
        <w:rPr>
          <w:rFonts w:hint="eastAsia" w:ascii="方正仿宋_GBK" w:hAnsi="方正仿宋_GBK" w:eastAsia="方正仿宋_GBK" w:cs="方正仿宋_GBK"/>
          <w:color w:val="000000"/>
          <w:sz w:val="32"/>
          <w:szCs w:val="32"/>
          <w:u w:val="single"/>
        </w:rPr>
        <w:t>砀山县人民政府</w:t>
      </w:r>
    </w:p>
    <w:p>
      <w:pPr>
        <w:spacing w:after="0" w:line="560" w:lineRule="exact"/>
        <w:jc w:val="both"/>
        <w:rPr>
          <w:rFonts w:hint="eastAsia"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乙方：</w:t>
      </w:r>
      <w:r>
        <w:rPr>
          <w:rFonts w:hint="eastAsia" w:ascii="方正仿宋_GBK" w:hAnsi="方正仿宋_GBK" w:eastAsia="方正仿宋_GBK" w:cs="方正仿宋_GBK"/>
          <w:color w:val="000000"/>
          <w:sz w:val="32"/>
          <w:szCs w:val="32"/>
          <w:u w:val="single"/>
        </w:rPr>
        <w:t>中国电信股份有限公司宿州分公司</w:t>
      </w:r>
    </w:p>
    <w:p>
      <w:pPr>
        <w:spacing w:after="0" w:line="560" w:lineRule="exact"/>
        <w:ind w:firstLine="640" w:firstLineChars="200"/>
        <w:jc w:val="both"/>
        <w:rPr>
          <w:rFonts w:hint="eastAsia" w:ascii="方正仿宋_GBK" w:hAnsi="方正仿宋_GBK" w:eastAsia="方正仿宋_GBK" w:cs="方正仿宋_GBK"/>
          <w:color w:val="000000"/>
          <w:sz w:val="32"/>
          <w:szCs w:val="32"/>
          <w:u w:val="single"/>
          <w:shd w:val="clear" w:color="auto" w:fill="FFFFFF"/>
        </w:rPr>
      </w:pPr>
    </w:p>
    <w:p>
      <w:pPr>
        <w:spacing w:after="0" w:line="560" w:lineRule="exact"/>
        <w:ind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工业互联网是新一代信息通信技术与工业经济深度融合的新型基础设施、应用模式和工业生态，是推动制造业转型升级的重要基础和加速器。中国电信股份有限公司</w:t>
      </w:r>
      <w:r>
        <w:rPr>
          <w:rFonts w:hint="eastAsia" w:ascii="方正仿宋_GBK" w:hAnsi="方正仿宋_GBK" w:eastAsia="方正仿宋_GBK" w:cs="方正仿宋_GBK"/>
          <w:color w:val="000000"/>
          <w:sz w:val="32"/>
          <w:szCs w:val="32"/>
        </w:rPr>
        <w:t>宿州分公司</w:t>
      </w:r>
      <w:r>
        <w:rPr>
          <w:rFonts w:hint="eastAsia" w:ascii="方正仿宋_GBK" w:hAnsi="方正仿宋_GBK" w:eastAsia="方正仿宋_GBK" w:cs="方正仿宋_GBK"/>
          <w:color w:val="000000"/>
          <w:sz w:val="32"/>
          <w:szCs w:val="32"/>
          <w:shd w:val="clear" w:color="auto" w:fill="FFFFFF"/>
        </w:rPr>
        <w:t>（以下简称中国电信</w:t>
      </w:r>
      <w:r>
        <w:rPr>
          <w:rFonts w:hint="eastAsia" w:ascii="方正仿宋_GBK" w:hAnsi="方正仿宋_GBK" w:eastAsia="方正仿宋_GBK" w:cs="方正仿宋_GBK"/>
          <w:color w:val="000000"/>
          <w:sz w:val="32"/>
          <w:szCs w:val="32"/>
        </w:rPr>
        <w:t>宿州分公司</w:t>
      </w:r>
      <w:r>
        <w:rPr>
          <w:rFonts w:hint="eastAsia" w:ascii="方正仿宋_GBK" w:hAnsi="方正仿宋_GBK" w:eastAsia="方正仿宋_GBK" w:cs="方正仿宋_GBK"/>
          <w:color w:val="000000"/>
          <w:sz w:val="32"/>
          <w:szCs w:val="32"/>
          <w:shd w:val="clear" w:color="auto" w:fill="FFFFFF"/>
        </w:rPr>
        <w:t>）依托自身在资源、技术和人才等方面的优势，经双方友好协商，本着“</w:t>
      </w:r>
      <w:r>
        <w:rPr>
          <w:rFonts w:hint="eastAsia" w:ascii="方正仿宋_GBK" w:hAnsi="方正仿宋_GBK" w:eastAsia="方正仿宋_GBK" w:cs="方正仿宋_GBK"/>
          <w:color w:val="000000"/>
          <w:sz w:val="32"/>
          <w:szCs w:val="32"/>
        </w:rPr>
        <w:t>发挥优势、相互促进、长期合作、互利共赢”的原则，为加快砀山县工业互联网创新发展，推动工业互联网在制造业数字化、网络化、智能化、绿色化转型过程中发挥基础作用，达成《砀山县人民政府与中国电信股份有限公司宿州分公司“工业互联网”战略合作协议》（以下简称“本协议”），以资双方共同遵守。</w:t>
      </w:r>
    </w:p>
    <w:p>
      <w:pPr>
        <w:spacing w:after="0" w:line="560" w:lineRule="exact"/>
        <w:ind w:firstLine="640" w:firstLineChars="200"/>
        <w:jc w:val="both"/>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一、合作目标</w:t>
      </w:r>
    </w:p>
    <w:p>
      <w:pPr>
        <w:spacing w:after="0" w:line="560" w:lineRule="exact"/>
        <w:ind w:firstLine="640" w:firstLineChars="200"/>
        <w:jc w:val="both"/>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双方在遵守国家法律及行业规定的前提下，按照平等互利、合作共赢的原则，以实现资源优势互补、服务社会发展、成果经验共享为目标，充分借助砀山县“工业大脑”平台，有力有序有效推进和加快工业互联网创新应用，推动制造业数字化、网络化、智能化、绿色化转型升级，实现由砀山“制造”向砀山“智造”加速转变，提升制造业发展能力和水平，助力推动砀山县经济实力跃升。</w:t>
      </w:r>
    </w:p>
    <w:p>
      <w:pPr>
        <w:spacing w:after="0" w:line="560" w:lineRule="exact"/>
        <w:ind w:firstLine="640" w:firstLineChars="200"/>
        <w:jc w:val="both"/>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二、合作内容</w:t>
      </w:r>
    </w:p>
    <w:p>
      <w:pPr>
        <w:pStyle w:val="36"/>
        <w:spacing w:after="0" w:line="560" w:lineRule="exact"/>
        <w:ind w:left="643" w:firstLine="0" w:firstLineChars="0"/>
        <w:jc w:val="both"/>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（一）推进工业互联网平台建设</w:t>
      </w:r>
    </w:p>
    <w:p>
      <w:pPr>
        <w:spacing w:after="0" w:line="560" w:lineRule="exact"/>
        <w:ind w:firstLine="640" w:firstLineChars="200"/>
        <w:jc w:val="both"/>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1.中国电信股份有限公司宿州分公司积极发挥央企社会担当，助力当地企业数字化转型，依据双方战略合作协议免费建设（约360万元）“工业互联网平台”，通过数字赋能推动企业数字化转型。</w:t>
      </w:r>
    </w:p>
    <w:p>
      <w:pPr>
        <w:spacing w:after="0" w:line="560" w:lineRule="exact"/>
        <w:ind w:firstLine="640" w:firstLineChars="200"/>
        <w:jc w:val="both"/>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2.砀山县人民政府推动各类企业</w:t>
      </w:r>
      <w:r>
        <w:rPr>
          <w:rFonts w:hint="eastAsia" w:ascii="方正仿宋_GBK" w:hAnsi="方正仿宋_GBK" w:eastAsia="方正仿宋_GBK" w:cs="方正仿宋_GBK"/>
          <w:color w:val="000000"/>
          <w:sz w:val="32"/>
          <w:szCs w:val="32"/>
          <w:lang w:eastAsia="zh-CN"/>
        </w:rPr>
        <w:t>依法</w:t>
      </w:r>
      <w:r>
        <w:rPr>
          <w:rFonts w:hint="eastAsia" w:ascii="方正仿宋_GBK" w:hAnsi="方正仿宋_GBK" w:eastAsia="方正仿宋_GBK" w:cs="方正仿宋_GBK"/>
          <w:color w:val="000000"/>
          <w:sz w:val="32"/>
          <w:szCs w:val="32"/>
        </w:rPr>
        <w:t>接入“砀山县工业互联网管理平台”，实现精准管理、高效赋能当地企业。</w:t>
      </w:r>
    </w:p>
    <w:p>
      <w:pPr>
        <w:pStyle w:val="36"/>
        <w:spacing w:after="0" w:line="560" w:lineRule="exact"/>
        <w:ind w:left="643" w:firstLine="0" w:firstLineChars="0"/>
        <w:jc w:val="both"/>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（二）推进工业互联网基础设施建设</w:t>
      </w:r>
    </w:p>
    <w:p>
      <w:pPr>
        <w:spacing w:after="0" w:line="560" w:lineRule="exact"/>
        <w:ind w:firstLine="640" w:firstLineChars="200"/>
        <w:jc w:val="both"/>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加快推进砀山县经济开发区5G网络建设。中国电信宿州分公司积极向上争取建设计划和资源，加大开发园区的5G网络建设，确保在2023年底实现5G网络全覆盖，为企业工业互联网应用提供5G网络支撑。砀山县人民政府支持中国电信宿州分公司开展5G网络基础设施建设，在5G规划站点选址等方面，协调相关资源，营造5G基础设施建设环境。</w:t>
      </w:r>
    </w:p>
    <w:p>
      <w:pPr>
        <w:spacing w:after="0" w:line="560" w:lineRule="exact"/>
        <w:ind w:firstLine="640" w:firstLineChars="200"/>
        <w:jc w:val="both"/>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加快推进砀山县经济开发区物联网建设。中国电信宿州分公司加大园区物联网网络建设，尤其是NB-IOT窄带物联网网络建设，确保在2023年底实现物联网（含NB-IOT窄带物联网）网络全覆盖，为企业物联网应用场景提供网络支撑。</w:t>
      </w:r>
    </w:p>
    <w:p>
      <w:pPr>
        <w:spacing w:after="0" w:line="560" w:lineRule="exact"/>
        <w:ind w:firstLine="640" w:firstLineChars="200"/>
        <w:jc w:val="both"/>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中国电信宿州分公司加快在砀山县的IDC基础能力建设，为砀山县工业企业提供各类工业互联网应用所需的IDC能力。确保在2023年底建成符合三级等保要求的IDC基础能力，包括动力能力、网络能力和安全能力等，具备不低于200个机柜的服务能力。</w:t>
      </w:r>
    </w:p>
    <w:p>
      <w:pPr>
        <w:pStyle w:val="36"/>
        <w:spacing w:after="0" w:line="560" w:lineRule="exact"/>
        <w:ind w:left="643" w:firstLine="0" w:firstLineChars="0"/>
        <w:jc w:val="both"/>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（三）推进出台支持工业互联网发展政策</w:t>
      </w:r>
    </w:p>
    <w:p>
      <w:pPr>
        <w:spacing w:after="0" w:line="560" w:lineRule="exact"/>
        <w:ind w:firstLine="640" w:firstLineChars="200"/>
        <w:jc w:val="both"/>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1.砀山县人民政府结合本地工业经济发展实际情况，聚焦制造业数字化、网络化、智能化、绿色化转型，</w:t>
      </w:r>
      <w:r>
        <w:rPr>
          <w:rFonts w:hint="eastAsia" w:ascii="方正仿宋_GBK" w:hAnsi="方正仿宋_GBK" w:eastAsia="方正仿宋_GBK" w:cs="方正仿宋_GBK"/>
          <w:color w:val="000000"/>
          <w:sz w:val="32"/>
          <w:szCs w:val="32"/>
          <w:lang w:eastAsia="zh-CN"/>
        </w:rPr>
        <w:t>在条件成熟时，砀山县人民政府</w:t>
      </w:r>
      <w:r>
        <w:rPr>
          <w:rFonts w:hint="eastAsia" w:ascii="方正仿宋_GBK" w:hAnsi="方正仿宋_GBK" w:eastAsia="方正仿宋_GBK" w:cs="方正仿宋_GBK"/>
          <w:color w:val="000000"/>
          <w:sz w:val="32"/>
          <w:szCs w:val="32"/>
        </w:rPr>
        <w:t>出台本地支持工业互联网发展有关政策，明确相关的奖补范围及标准。</w:t>
      </w:r>
    </w:p>
    <w:p>
      <w:pPr>
        <w:spacing w:after="0" w:line="560" w:lineRule="exact"/>
        <w:ind w:firstLine="640" w:firstLineChars="200"/>
        <w:jc w:val="both"/>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2.中国电信宿州分公司成立本地专业化工业互联网运营支撑中心，配备不少于10人的专业化人才队伍，为砀山县企业提供工业互联网咨询、诊断、方案、实施、运维一体化服务。</w:t>
      </w:r>
    </w:p>
    <w:p>
      <w:pPr>
        <w:pStyle w:val="36"/>
        <w:spacing w:after="0" w:line="560" w:lineRule="exact"/>
        <w:ind w:left="643" w:firstLine="0" w:firstLineChars="0"/>
        <w:jc w:val="both"/>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（四）推动实施工业互联网重点项目</w:t>
      </w:r>
    </w:p>
    <w:p>
      <w:pPr>
        <w:spacing w:after="0" w:line="560" w:lineRule="exact"/>
        <w:ind w:firstLine="640" w:firstLineChars="200"/>
        <w:jc w:val="both"/>
        <w:outlineLvl w:val="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砀山县人民政府和中国电信宿州分公司结合砀山县实际，</w:t>
      </w:r>
      <w:r>
        <w:rPr>
          <w:rFonts w:hint="eastAsia" w:ascii="方正仿宋_GBK" w:hAnsi="方正仿宋_GBK" w:eastAsia="方正仿宋_GBK" w:cs="方正仿宋_GBK"/>
          <w:color w:val="000000"/>
          <w:sz w:val="32"/>
          <w:szCs w:val="32"/>
          <w:lang w:eastAsia="zh-CN"/>
        </w:rPr>
        <w:t>依法</w:t>
      </w:r>
      <w:r>
        <w:rPr>
          <w:rFonts w:hint="eastAsia" w:ascii="方正仿宋_GBK" w:hAnsi="方正仿宋_GBK" w:eastAsia="方正仿宋_GBK" w:cs="方正仿宋_GBK"/>
          <w:color w:val="000000"/>
          <w:sz w:val="32"/>
          <w:szCs w:val="32"/>
        </w:rPr>
        <w:t>共同推动实施一批工业互联网重点项目，包括砀山产业大脑、企业生产线数采、企业上云、企业5G典型场景应用和企业数字工厂建设等，打造工业互联网应用标杆。</w:t>
      </w:r>
    </w:p>
    <w:p>
      <w:pPr>
        <w:spacing w:after="0" w:line="560" w:lineRule="exact"/>
        <w:ind w:firstLine="643"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color w:val="000000"/>
          <w:sz w:val="32"/>
          <w:szCs w:val="32"/>
        </w:rPr>
        <w:t>1.企业大脑项目。</w:t>
      </w:r>
      <w:r>
        <w:rPr>
          <w:rFonts w:hint="eastAsia" w:ascii="方正仿宋_GBK" w:hAnsi="方正仿宋_GBK" w:eastAsia="方正仿宋_GBK" w:cs="方正仿宋_GBK"/>
          <w:color w:val="000000"/>
          <w:sz w:val="32"/>
          <w:szCs w:val="32"/>
        </w:rPr>
        <w:t>砀山县人民政府支持中国电信宿州分公司根据企业需求，开发布署企业大脑，为入驻平台企业提供工业互联网整体解决方案，打通产业链上下游，整体提升砀山县企业层次，做大企业规模。</w:t>
      </w:r>
    </w:p>
    <w:p>
      <w:pPr>
        <w:spacing w:after="0" w:line="560" w:lineRule="exact"/>
        <w:ind w:firstLine="643"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2.企业生产线数采项目。</w:t>
      </w:r>
      <w:r>
        <w:rPr>
          <w:rFonts w:hint="eastAsia" w:ascii="方正仿宋_GBK" w:hAnsi="方正仿宋_GBK" w:eastAsia="方正仿宋_GBK" w:cs="方正仿宋_GBK"/>
          <w:color w:val="000000"/>
          <w:sz w:val="32"/>
          <w:szCs w:val="32"/>
        </w:rPr>
        <w:t>砀山县人民政府支持中国电信宿州分公司推动企业生产线数采项目，项目周期三年，每年遴选20家企业，实施生产线数采改造，打造企业生产数字看板，提升企业数字化水平，多种方式结合支持企业降低企业应用门槛。</w:t>
      </w:r>
    </w:p>
    <w:p>
      <w:pPr>
        <w:spacing w:after="0" w:line="560" w:lineRule="exact"/>
        <w:ind w:firstLine="643"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3.企业上云项目。</w:t>
      </w:r>
      <w:r>
        <w:rPr>
          <w:rFonts w:hint="eastAsia" w:ascii="方正仿宋_GBK" w:hAnsi="方正仿宋_GBK" w:eastAsia="方正仿宋_GBK" w:cs="方正仿宋_GBK"/>
          <w:color w:val="000000"/>
          <w:sz w:val="32"/>
          <w:szCs w:val="32"/>
        </w:rPr>
        <w:t>砀山县人民政府对中国电信宿州分公司在砀山县实施企业上云给予支持，项目周期三年，每年遴选20家企业，实施企业上云。中国电信宿州分公司依托砀山工业大脑平台，制定本地企业上云的优惠方案。</w:t>
      </w:r>
    </w:p>
    <w:p>
      <w:pPr>
        <w:spacing w:after="0" w:line="560" w:lineRule="exact"/>
        <w:ind w:firstLine="643" w:firstLineChars="200"/>
        <w:jc w:val="both"/>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sz w:val="32"/>
          <w:szCs w:val="32"/>
        </w:rPr>
        <w:t>4.企业5G典型场景应用建设项目。</w:t>
      </w:r>
      <w:r>
        <w:rPr>
          <w:rFonts w:hint="eastAsia" w:ascii="方正仿宋_GBK" w:hAnsi="方正仿宋_GBK" w:eastAsia="方正仿宋_GBK" w:cs="方正仿宋_GBK"/>
          <w:color w:val="000000"/>
          <w:sz w:val="32"/>
          <w:szCs w:val="32"/>
        </w:rPr>
        <w:t>砀山县人民政府支持中国电信宿州分公司根据企业需求推动企业5G典型场景应用建设，项目周期三年，每年遴选5家企业，实施5G典型场景应用建设。中国电信宿州分公司依托砀山大脑平台，为企业提供定制化的5G典型应用场景解决方案,对于建设5G定制网的企业，中国电信宿州分公司一次性给予企业10万元/个的补贴。</w:t>
      </w:r>
    </w:p>
    <w:p>
      <w:pPr>
        <w:spacing w:after="0" w:line="560" w:lineRule="exact"/>
        <w:ind w:firstLine="643"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color w:val="000000"/>
          <w:sz w:val="32"/>
          <w:szCs w:val="32"/>
        </w:rPr>
        <w:t>5.企业数字工厂建设项目。</w:t>
      </w:r>
      <w:r>
        <w:rPr>
          <w:rFonts w:hint="eastAsia" w:ascii="方正仿宋_GBK" w:hAnsi="方正仿宋_GBK" w:eastAsia="方正仿宋_GBK" w:cs="方正仿宋_GBK"/>
          <w:color w:val="000000"/>
          <w:sz w:val="32"/>
          <w:szCs w:val="32"/>
        </w:rPr>
        <w:t>中国电信宿州分公司根据企业需求，为企业提供定制化的数字工厂解决方案，</w:t>
      </w:r>
      <w:r>
        <w:rPr>
          <w:rFonts w:hint="eastAsia" w:ascii="方正仿宋_GBK" w:hAnsi="方正仿宋_GBK" w:eastAsia="方正仿宋_GBK" w:cs="方正仿宋_GBK"/>
          <w:color w:val="000000"/>
          <w:sz w:val="32"/>
          <w:szCs w:val="32"/>
          <w:lang w:eastAsia="zh-CN"/>
        </w:rPr>
        <w:t>在符合有关政策的前提下</w:t>
      </w:r>
      <w:r>
        <w:rPr>
          <w:rFonts w:hint="eastAsia" w:ascii="方正仿宋_GBK" w:hAnsi="方正仿宋_GBK" w:eastAsia="方正仿宋_GBK" w:cs="方正仿宋_GBK"/>
          <w:color w:val="000000"/>
          <w:sz w:val="32"/>
          <w:szCs w:val="32"/>
        </w:rPr>
        <w:t>砀山县人民政府对数字工厂建设给予鼓励和支持。推动企业数字工厂建设项目，项目周期三年，每年遴选5家以上企业，实施企业数字工厂建设，通过实施生产设备数字化、网络化改造和一体化应用ERP、MES等应用软件，打造全流程的数字工厂。</w:t>
      </w:r>
    </w:p>
    <w:p>
      <w:pPr>
        <w:spacing w:after="0"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对于工业互联网应用成效显著的企业，中国电信宿州分公司投入资源，每年遴选5家以上企业，按照统一标准，建设示范场景，打造标杆，发挥示范引领作用。</w:t>
      </w:r>
    </w:p>
    <w:p>
      <w:pPr>
        <w:spacing w:after="0" w:line="560" w:lineRule="exact"/>
        <w:ind w:firstLine="640" w:firstLineChars="200"/>
        <w:jc w:val="both"/>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三、合作机制</w:t>
      </w:r>
    </w:p>
    <w:p>
      <w:pPr>
        <w:spacing w:after="0" w:line="560" w:lineRule="exact"/>
        <w:ind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共同成立“砀山县人民政府、中国电信宿州分公司共同推进工业互联网工作领导小组”，保障项目顺利落地，研究解决合作中遇到的重大问题、重大事项。领导小组下设办公室，承接领导小组交办的工作任务，做好工作推进和沟通衔接。</w:t>
      </w:r>
    </w:p>
    <w:p>
      <w:pPr>
        <w:spacing w:after="0" w:line="560" w:lineRule="exact"/>
        <w:ind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（二）实行双方主要领导共同牵头、不定期会商的机制，根据工作进展情况，及时研究解决合作中遇到的重大问题、重大事项。</w:t>
      </w:r>
    </w:p>
    <w:p>
      <w:pPr>
        <w:spacing w:after="0" w:line="560" w:lineRule="exact"/>
        <w:ind w:firstLine="640" w:firstLineChars="200"/>
        <w:jc w:val="both"/>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四、其他事项</w:t>
      </w:r>
    </w:p>
    <w:p>
      <w:pPr>
        <w:spacing w:after="0" w:line="560" w:lineRule="exact"/>
        <w:ind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（一）未经对方事先书面同意，任何一方不得转让本协议书项下的权利义务。</w:t>
      </w:r>
    </w:p>
    <w:p>
      <w:pPr>
        <w:spacing w:after="0" w:line="560" w:lineRule="exact"/>
        <w:ind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（二）双方根据本协议确定的合作内容，可签订具体业务合作协议并组织实施。</w:t>
      </w:r>
    </w:p>
    <w:p>
      <w:pPr>
        <w:spacing w:after="0" w:line="560" w:lineRule="exact"/>
        <w:ind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（三）双方确认，对本协议书内容做出的任何修改和补充应为书面形式，由双方法定代表人或者授权代表签字盖章后成为本协议书不可分割的部分。</w:t>
      </w:r>
    </w:p>
    <w:p>
      <w:pPr>
        <w:spacing w:after="0" w:line="560" w:lineRule="exact"/>
        <w:ind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（四）本协议未尽事宜，经双方友好协商后确定。</w:t>
      </w:r>
    </w:p>
    <w:p>
      <w:pPr>
        <w:spacing w:after="0" w:line="560" w:lineRule="exact"/>
        <w:ind w:firstLine="640" w:firstLineChars="200"/>
        <w:jc w:val="both"/>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（五）本协议一式贰份，双方各持壹份，具有同等效力</w:t>
      </w:r>
      <w:r>
        <w:rPr>
          <w:rFonts w:hint="eastAsia" w:ascii="方正仿宋_GBK" w:hAnsi="方正仿宋_GBK" w:eastAsia="方正仿宋_GBK" w:cs="方正仿宋_GBK"/>
          <w:color w:val="000000"/>
          <w:sz w:val="32"/>
          <w:szCs w:val="32"/>
          <w:lang w:eastAsia="zh-CN"/>
        </w:rPr>
        <w:t>，协议期五年。</w:t>
      </w:r>
    </w:p>
    <w:p>
      <w:pPr>
        <w:spacing w:after="0" w:line="560" w:lineRule="exact"/>
        <w:ind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六</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本协议由县经信局负责跟踪督促、履行。</w:t>
      </w:r>
    </w:p>
    <w:p>
      <w:pPr>
        <w:spacing w:after="0" w:line="520" w:lineRule="exact"/>
        <w:jc w:val="both"/>
        <w:outlineLvl w:val="0"/>
        <w:rPr>
          <w:rFonts w:hint="eastAsia" w:ascii="方正仿宋_GBK" w:hAnsi="方正仿宋_GBK" w:eastAsia="方正仿宋_GBK" w:cs="方正仿宋_GBK"/>
          <w:color w:val="000000"/>
          <w:sz w:val="32"/>
          <w:szCs w:val="32"/>
        </w:rPr>
      </w:pPr>
    </w:p>
    <w:tbl>
      <w:tblPr>
        <w:tblStyle w:val="6"/>
        <w:tblW w:w="8880" w:type="dxa"/>
        <w:tblInd w:w="108" w:type="dxa"/>
        <w:tblLayout w:type="fixed"/>
        <w:tblCellMar>
          <w:top w:w="0" w:type="dxa"/>
          <w:left w:w="108" w:type="dxa"/>
          <w:bottom w:w="0" w:type="dxa"/>
          <w:right w:w="108" w:type="dxa"/>
        </w:tblCellMar>
      </w:tblPr>
      <w:tblGrid>
        <w:gridCol w:w="4356"/>
        <w:gridCol w:w="4524"/>
      </w:tblGrid>
      <w:tr>
        <w:tblPrEx>
          <w:tblCellMar>
            <w:top w:w="0" w:type="dxa"/>
            <w:left w:w="108" w:type="dxa"/>
            <w:bottom w:w="0" w:type="dxa"/>
            <w:right w:w="108" w:type="dxa"/>
          </w:tblCellMar>
        </w:tblPrEx>
        <w:tc>
          <w:tcPr>
            <w:tcW w:w="4356" w:type="dxa"/>
          </w:tcPr>
          <w:p>
            <w:pPr>
              <w:autoSpaceDE w:val="0"/>
              <w:autoSpaceDN w:val="0"/>
              <w:spacing w:after="0" w:line="520" w:lineRule="exact"/>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砀山县人民政府  </w:t>
            </w:r>
          </w:p>
          <w:p>
            <w:pPr>
              <w:autoSpaceDE w:val="0"/>
              <w:autoSpaceDN w:val="0"/>
              <w:spacing w:after="0" w:line="520" w:lineRule="exact"/>
              <w:jc w:val="both"/>
              <w:rPr>
                <w:rFonts w:hint="eastAsia" w:ascii="方正仿宋_GBK" w:hAnsi="方正仿宋_GBK" w:eastAsia="方正仿宋_GBK" w:cs="方正仿宋_GBK"/>
                <w:color w:val="000000"/>
                <w:sz w:val="32"/>
                <w:szCs w:val="32"/>
              </w:rPr>
            </w:pPr>
          </w:p>
          <w:p>
            <w:pPr>
              <w:autoSpaceDE w:val="0"/>
              <w:autoSpaceDN w:val="0"/>
              <w:spacing w:after="0" w:line="520" w:lineRule="exact"/>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（盖章）</w:t>
            </w:r>
          </w:p>
          <w:p>
            <w:pPr>
              <w:autoSpaceDE w:val="0"/>
              <w:autoSpaceDN w:val="0"/>
              <w:spacing w:after="0" w:line="520" w:lineRule="exact"/>
              <w:jc w:val="both"/>
              <w:rPr>
                <w:rFonts w:hint="eastAsia" w:ascii="方正仿宋_GBK" w:hAnsi="方正仿宋_GBK" w:eastAsia="方正仿宋_GBK" w:cs="方正仿宋_GBK"/>
                <w:color w:val="000000"/>
                <w:sz w:val="32"/>
                <w:szCs w:val="32"/>
              </w:rPr>
            </w:pPr>
          </w:p>
          <w:p>
            <w:pPr>
              <w:autoSpaceDE w:val="0"/>
              <w:autoSpaceDN w:val="0"/>
              <w:spacing w:after="0" w:line="520" w:lineRule="exact"/>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授权代表签字：</w:t>
            </w:r>
          </w:p>
          <w:p>
            <w:pPr>
              <w:widowControl w:val="0"/>
              <w:autoSpaceDE w:val="0"/>
              <w:autoSpaceDN w:val="0"/>
              <w:spacing w:after="0" w:line="520" w:lineRule="exact"/>
              <w:jc w:val="both"/>
              <w:rPr>
                <w:rFonts w:hint="eastAsia" w:ascii="方正仿宋_GBK" w:hAnsi="方正仿宋_GBK" w:eastAsia="方正仿宋_GBK" w:cs="方正仿宋_GBK"/>
                <w:color w:val="000000"/>
                <w:sz w:val="32"/>
                <w:szCs w:val="32"/>
              </w:rPr>
            </w:pPr>
          </w:p>
          <w:p>
            <w:pPr>
              <w:widowControl w:val="0"/>
              <w:autoSpaceDE w:val="0"/>
              <w:autoSpaceDN w:val="0"/>
              <w:spacing w:after="0" w:line="520" w:lineRule="exact"/>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签署日期：  年   月  日</w:t>
            </w:r>
          </w:p>
        </w:tc>
        <w:tc>
          <w:tcPr>
            <w:tcW w:w="4524" w:type="dxa"/>
          </w:tcPr>
          <w:p>
            <w:pPr>
              <w:autoSpaceDE w:val="0"/>
              <w:autoSpaceDN w:val="0"/>
              <w:spacing w:after="0" w:line="520" w:lineRule="exact"/>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中国电信股份有限公司宿州分公司</w:t>
            </w:r>
          </w:p>
          <w:p>
            <w:pPr>
              <w:autoSpaceDE w:val="0"/>
              <w:autoSpaceDN w:val="0"/>
              <w:spacing w:after="0" w:line="520" w:lineRule="exact"/>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（盖章）</w:t>
            </w:r>
          </w:p>
          <w:p>
            <w:pPr>
              <w:autoSpaceDE w:val="0"/>
              <w:autoSpaceDN w:val="0"/>
              <w:spacing w:after="0" w:line="520" w:lineRule="exact"/>
              <w:jc w:val="both"/>
              <w:rPr>
                <w:rFonts w:hint="eastAsia" w:ascii="方正仿宋_GBK" w:hAnsi="方正仿宋_GBK" w:eastAsia="方正仿宋_GBK" w:cs="方正仿宋_GBK"/>
                <w:color w:val="000000"/>
                <w:sz w:val="32"/>
                <w:szCs w:val="32"/>
              </w:rPr>
            </w:pPr>
          </w:p>
          <w:p>
            <w:pPr>
              <w:autoSpaceDE w:val="0"/>
              <w:autoSpaceDN w:val="0"/>
              <w:spacing w:after="0" w:line="520" w:lineRule="exact"/>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授权代表签字：</w:t>
            </w:r>
          </w:p>
          <w:p>
            <w:pPr>
              <w:autoSpaceDE w:val="0"/>
              <w:autoSpaceDN w:val="0"/>
              <w:spacing w:after="0" w:line="520" w:lineRule="exact"/>
              <w:jc w:val="both"/>
              <w:rPr>
                <w:rFonts w:hint="eastAsia" w:ascii="方正仿宋_GBK" w:hAnsi="方正仿宋_GBK" w:eastAsia="方正仿宋_GBK" w:cs="方正仿宋_GBK"/>
                <w:color w:val="000000"/>
                <w:sz w:val="32"/>
                <w:szCs w:val="32"/>
              </w:rPr>
            </w:pPr>
          </w:p>
          <w:p>
            <w:pPr>
              <w:autoSpaceDE w:val="0"/>
              <w:autoSpaceDN w:val="0"/>
              <w:spacing w:after="0" w:line="520" w:lineRule="exact"/>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签署日期：  年   月  日</w:t>
            </w:r>
          </w:p>
        </w:tc>
      </w:tr>
    </w:tbl>
    <w:p>
      <w:pPr>
        <w:spacing w:line="220" w:lineRule="atLeast"/>
        <w:jc w:val="both"/>
        <w:rPr>
          <w:rFonts w:ascii="仿宋" w:hAnsi="仿宋" w:eastAsia="仿宋"/>
          <w:color w:val="000000"/>
          <w:sz w:val="32"/>
          <w:szCs w:val="32"/>
        </w:rPr>
      </w:pPr>
    </w:p>
    <w:sectPr>
      <w:footerReference r:id="rId5" w:type="default"/>
      <w:pgSz w:w="11906" w:h="16838"/>
      <w:pgMar w:top="1417" w:right="1531" w:bottom="1417"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YjdlZGJhZjI5ODM4OTNiOWY0NDhlMzk2MDQwMGUifQ=="/>
  </w:docVars>
  <w:rsids>
    <w:rsidRoot w:val="00AE2174"/>
    <w:rsid w:val="00015A93"/>
    <w:rsid w:val="0004763D"/>
    <w:rsid w:val="000710BA"/>
    <w:rsid w:val="0008111E"/>
    <w:rsid w:val="00086653"/>
    <w:rsid w:val="00087DA7"/>
    <w:rsid w:val="000A66BD"/>
    <w:rsid w:val="000A7E18"/>
    <w:rsid w:val="000B024B"/>
    <w:rsid w:val="000B413D"/>
    <w:rsid w:val="000D4D58"/>
    <w:rsid w:val="000E1425"/>
    <w:rsid w:val="000E1D3C"/>
    <w:rsid w:val="00104AD2"/>
    <w:rsid w:val="00142A69"/>
    <w:rsid w:val="00143791"/>
    <w:rsid w:val="00181FE7"/>
    <w:rsid w:val="00187712"/>
    <w:rsid w:val="00191B21"/>
    <w:rsid w:val="001945FC"/>
    <w:rsid w:val="001B70DA"/>
    <w:rsid w:val="001D4855"/>
    <w:rsid w:val="001D7054"/>
    <w:rsid w:val="001E7D5A"/>
    <w:rsid w:val="001F1B57"/>
    <w:rsid w:val="00213A39"/>
    <w:rsid w:val="00232174"/>
    <w:rsid w:val="00246001"/>
    <w:rsid w:val="00251896"/>
    <w:rsid w:val="0025282A"/>
    <w:rsid w:val="002676A6"/>
    <w:rsid w:val="00275559"/>
    <w:rsid w:val="002848A3"/>
    <w:rsid w:val="00285E6F"/>
    <w:rsid w:val="00286BCE"/>
    <w:rsid w:val="002A7475"/>
    <w:rsid w:val="002D7C03"/>
    <w:rsid w:val="002E1328"/>
    <w:rsid w:val="003034E2"/>
    <w:rsid w:val="00305C8A"/>
    <w:rsid w:val="00335CEF"/>
    <w:rsid w:val="00364B6E"/>
    <w:rsid w:val="00376459"/>
    <w:rsid w:val="003A4016"/>
    <w:rsid w:val="003B627C"/>
    <w:rsid w:val="003C009A"/>
    <w:rsid w:val="003D1F4C"/>
    <w:rsid w:val="003D3204"/>
    <w:rsid w:val="003D696F"/>
    <w:rsid w:val="004217E7"/>
    <w:rsid w:val="00423A0E"/>
    <w:rsid w:val="00431BBA"/>
    <w:rsid w:val="004326C5"/>
    <w:rsid w:val="004448E6"/>
    <w:rsid w:val="004519D3"/>
    <w:rsid w:val="00464DCF"/>
    <w:rsid w:val="00475474"/>
    <w:rsid w:val="0048436C"/>
    <w:rsid w:val="0049199F"/>
    <w:rsid w:val="004A236D"/>
    <w:rsid w:val="004A5E57"/>
    <w:rsid w:val="004C1E45"/>
    <w:rsid w:val="004C26C4"/>
    <w:rsid w:val="004C3EA8"/>
    <w:rsid w:val="004E18BA"/>
    <w:rsid w:val="004E2377"/>
    <w:rsid w:val="00506C5C"/>
    <w:rsid w:val="0051395C"/>
    <w:rsid w:val="00524029"/>
    <w:rsid w:val="005251E9"/>
    <w:rsid w:val="005932B7"/>
    <w:rsid w:val="005B24D9"/>
    <w:rsid w:val="005C69C9"/>
    <w:rsid w:val="005D05DC"/>
    <w:rsid w:val="005D3534"/>
    <w:rsid w:val="005E30F5"/>
    <w:rsid w:val="005E3932"/>
    <w:rsid w:val="005F5EBF"/>
    <w:rsid w:val="005F6842"/>
    <w:rsid w:val="00600472"/>
    <w:rsid w:val="00604062"/>
    <w:rsid w:val="00636DD0"/>
    <w:rsid w:val="00646C60"/>
    <w:rsid w:val="0065259D"/>
    <w:rsid w:val="00690DCA"/>
    <w:rsid w:val="0069108F"/>
    <w:rsid w:val="0069197B"/>
    <w:rsid w:val="00697553"/>
    <w:rsid w:val="00697693"/>
    <w:rsid w:val="006B204A"/>
    <w:rsid w:val="006F520B"/>
    <w:rsid w:val="006F5F6A"/>
    <w:rsid w:val="006F7A1F"/>
    <w:rsid w:val="00703B7A"/>
    <w:rsid w:val="00713137"/>
    <w:rsid w:val="00721C48"/>
    <w:rsid w:val="00721C6F"/>
    <w:rsid w:val="00725559"/>
    <w:rsid w:val="0075267F"/>
    <w:rsid w:val="00770BDB"/>
    <w:rsid w:val="00791D51"/>
    <w:rsid w:val="0079710F"/>
    <w:rsid w:val="007A0BB7"/>
    <w:rsid w:val="007B5072"/>
    <w:rsid w:val="007C226D"/>
    <w:rsid w:val="007E11E4"/>
    <w:rsid w:val="0080419B"/>
    <w:rsid w:val="00805A28"/>
    <w:rsid w:val="00822180"/>
    <w:rsid w:val="00826C85"/>
    <w:rsid w:val="00853C67"/>
    <w:rsid w:val="0085633A"/>
    <w:rsid w:val="0087146A"/>
    <w:rsid w:val="008750ED"/>
    <w:rsid w:val="00882BBA"/>
    <w:rsid w:val="008B3179"/>
    <w:rsid w:val="008D0A6D"/>
    <w:rsid w:val="008D31FD"/>
    <w:rsid w:val="008E32A1"/>
    <w:rsid w:val="008E610C"/>
    <w:rsid w:val="008F20EF"/>
    <w:rsid w:val="008F6208"/>
    <w:rsid w:val="00900BBC"/>
    <w:rsid w:val="00917C97"/>
    <w:rsid w:val="00926AF6"/>
    <w:rsid w:val="00940ED8"/>
    <w:rsid w:val="009534C4"/>
    <w:rsid w:val="0095403D"/>
    <w:rsid w:val="009912A6"/>
    <w:rsid w:val="009A1170"/>
    <w:rsid w:val="009A4D8A"/>
    <w:rsid w:val="009B4B88"/>
    <w:rsid w:val="009B70B9"/>
    <w:rsid w:val="009D384E"/>
    <w:rsid w:val="009D5425"/>
    <w:rsid w:val="009D5EEA"/>
    <w:rsid w:val="009D5FD1"/>
    <w:rsid w:val="00A17B4F"/>
    <w:rsid w:val="00A17D07"/>
    <w:rsid w:val="00A26378"/>
    <w:rsid w:val="00A52CF3"/>
    <w:rsid w:val="00A70C10"/>
    <w:rsid w:val="00A82422"/>
    <w:rsid w:val="00A9181C"/>
    <w:rsid w:val="00A9193F"/>
    <w:rsid w:val="00AA161E"/>
    <w:rsid w:val="00AB5A16"/>
    <w:rsid w:val="00AC6F5E"/>
    <w:rsid w:val="00AE2174"/>
    <w:rsid w:val="00AE596A"/>
    <w:rsid w:val="00AF2D5F"/>
    <w:rsid w:val="00B245F1"/>
    <w:rsid w:val="00B27D13"/>
    <w:rsid w:val="00B32902"/>
    <w:rsid w:val="00B425DC"/>
    <w:rsid w:val="00B55B40"/>
    <w:rsid w:val="00B754B3"/>
    <w:rsid w:val="00B92C4F"/>
    <w:rsid w:val="00B94BD2"/>
    <w:rsid w:val="00B94D8F"/>
    <w:rsid w:val="00BB2045"/>
    <w:rsid w:val="00BB3942"/>
    <w:rsid w:val="00BC1C61"/>
    <w:rsid w:val="00BD227F"/>
    <w:rsid w:val="00BD262E"/>
    <w:rsid w:val="00BF067B"/>
    <w:rsid w:val="00BF36B7"/>
    <w:rsid w:val="00C07146"/>
    <w:rsid w:val="00C14A01"/>
    <w:rsid w:val="00C170C4"/>
    <w:rsid w:val="00C17A49"/>
    <w:rsid w:val="00C22C4F"/>
    <w:rsid w:val="00C26C02"/>
    <w:rsid w:val="00C4402D"/>
    <w:rsid w:val="00C44A87"/>
    <w:rsid w:val="00C54147"/>
    <w:rsid w:val="00C63614"/>
    <w:rsid w:val="00C66BB0"/>
    <w:rsid w:val="00C85EB9"/>
    <w:rsid w:val="00C86A2E"/>
    <w:rsid w:val="00CB38A6"/>
    <w:rsid w:val="00CB690B"/>
    <w:rsid w:val="00CD5538"/>
    <w:rsid w:val="00CD7BF6"/>
    <w:rsid w:val="00CE4DCC"/>
    <w:rsid w:val="00D011D0"/>
    <w:rsid w:val="00D01720"/>
    <w:rsid w:val="00D103AD"/>
    <w:rsid w:val="00D2024B"/>
    <w:rsid w:val="00D2524A"/>
    <w:rsid w:val="00D25DFE"/>
    <w:rsid w:val="00D41920"/>
    <w:rsid w:val="00D44ACD"/>
    <w:rsid w:val="00D501ED"/>
    <w:rsid w:val="00D5288C"/>
    <w:rsid w:val="00D55074"/>
    <w:rsid w:val="00D56291"/>
    <w:rsid w:val="00D65127"/>
    <w:rsid w:val="00D67568"/>
    <w:rsid w:val="00D75D39"/>
    <w:rsid w:val="00DA48AB"/>
    <w:rsid w:val="00DB18EC"/>
    <w:rsid w:val="00DB7B0F"/>
    <w:rsid w:val="00DC268C"/>
    <w:rsid w:val="00DE49F7"/>
    <w:rsid w:val="00E00473"/>
    <w:rsid w:val="00E062B9"/>
    <w:rsid w:val="00E0638F"/>
    <w:rsid w:val="00E30A21"/>
    <w:rsid w:val="00E31913"/>
    <w:rsid w:val="00E36A29"/>
    <w:rsid w:val="00E40027"/>
    <w:rsid w:val="00E42025"/>
    <w:rsid w:val="00E47B8F"/>
    <w:rsid w:val="00E614D3"/>
    <w:rsid w:val="00E76FD5"/>
    <w:rsid w:val="00E81103"/>
    <w:rsid w:val="00E81DF4"/>
    <w:rsid w:val="00E9178B"/>
    <w:rsid w:val="00E92573"/>
    <w:rsid w:val="00E97FC7"/>
    <w:rsid w:val="00EE24AD"/>
    <w:rsid w:val="00EE3CD0"/>
    <w:rsid w:val="00EF3827"/>
    <w:rsid w:val="00F0680A"/>
    <w:rsid w:val="00F1450E"/>
    <w:rsid w:val="00F15C2C"/>
    <w:rsid w:val="00F34D5F"/>
    <w:rsid w:val="00F403BF"/>
    <w:rsid w:val="00F4603C"/>
    <w:rsid w:val="00F555EE"/>
    <w:rsid w:val="00F67375"/>
    <w:rsid w:val="00F75859"/>
    <w:rsid w:val="00F80AB1"/>
    <w:rsid w:val="00F864BD"/>
    <w:rsid w:val="00FB1293"/>
    <w:rsid w:val="00FB7BFC"/>
    <w:rsid w:val="00FC5576"/>
    <w:rsid w:val="00FD6C69"/>
    <w:rsid w:val="00FE1CE4"/>
    <w:rsid w:val="00FE6EFB"/>
    <w:rsid w:val="00FF7886"/>
    <w:rsid w:val="089F7EAE"/>
    <w:rsid w:val="0A1712FA"/>
    <w:rsid w:val="0B385B4A"/>
    <w:rsid w:val="0E3A00E4"/>
    <w:rsid w:val="0EB71753"/>
    <w:rsid w:val="12FE3A23"/>
    <w:rsid w:val="15897FA6"/>
    <w:rsid w:val="16466FAA"/>
    <w:rsid w:val="16482EA6"/>
    <w:rsid w:val="16573066"/>
    <w:rsid w:val="16692A7F"/>
    <w:rsid w:val="1A503084"/>
    <w:rsid w:val="1E7B2F18"/>
    <w:rsid w:val="21C53996"/>
    <w:rsid w:val="22635032"/>
    <w:rsid w:val="291805D6"/>
    <w:rsid w:val="2B6E51FA"/>
    <w:rsid w:val="2E355E0C"/>
    <w:rsid w:val="2F290F03"/>
    <w:rsid w:val="2FDE0F97"/>
    <w:rsid w:val="32B63688"/>
    <w:rsid w:val="33D459D2"/>
    <w:rsid w:val="33FF778B"/>
    <w:rsid w:val="34FE1810"/>
    <w:rsid w:val="38334C01"/>
    <w:rsid w:val="3D0777A3"/>
    <w:rsid w:val="3EA372C4"/>
    <w:rsid w:val="401B123D"/>
    <w:rsid w:val="42A65413"/>
    <w:rsid w:val="4B9926F3"/>
    <w:rsid w:val="4E376DF5"/>
    <w:rsid w:val="4FE2793D"/>
    <w:rsid w:val="526C0A0B"/>
    <w:rsid w:val="59A45692"/>
    <w:rsid w:val="5EB756F8"/>
    <w:rsid w:val="5EFC2AA7"/>
    <w:rsid w:val="60FA4576"/>
    <w:rsid w:val="61311146"/>
    <w:rsid w:val="640967E3"/>
    <w:rsid w:val="65C764E5"/>
    <w:rsid w:val="67E36C9E"/>
    <w:rsid w:val="6AB34F6F"/>
    <w:rsid w:val="6C383EF6"/>
    <w:rsid w:val="6EFA655B"/>
    <w:rsid w:val="75384A3D"/>
    <w:rsid w:val="7A164B23"/>
    <w:rsid w:val="7A3356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38"/>
    <w:semiHidden/>
    <w:unhideWhenUsed/>
    <w:qFormat/>
    <w:uiPriority w:val="99"/>
    <w:pPr>
      <w:spacing w:after="0"/>
    </w:pPr>
    <w:rPr>
      <w:sz w:val="18"/>
      <w:szCs w:val="18"/>
    </w:rPr>
  </w:style>
  <w:style w:type="paragraph" w:styleId="3">
    <w:name w:val="footer"/>
    <w:basedOn w:val="1"/>
    <w:link w:val="25"/>
    <w:qFormat/>
    <w:uiPriority w:val="0"/>
    <w:pPr>
      <w:tabs>
        <w:tab w:val="center" w:pos="4153"/>
        <w:tab w:val="right" w:pos="8306"/>
      </w:tabs>
    </w:pPr>
    <w:rPr>
      <w:sz w:val="18"/>
      <w:szCs w:val="18"/>
    </w:rPr>
  </w:style>
  <w:style w:type="paragraph" w:styleId="4">
    <w:name w:val="header"/>
    <w:basedOn w:val="1"/>
    <w:link w:val="24"/>
    <w:qFormat/>
    <w:uiPriority w:val="0"/>
    <w:pPr>
      <w:pBdr>
        <w:bottom w:val="single" w:color="auto" w:sz="6" w:space="1"/>
      </w:pBdr>
      <w:tabs>
        <w:tab w:val="center" w:pos="4153"/>
        <w:tab w:val="right" w:pos="8306"/>
      </w:tabs>
      <w:jc w:val="center"/>
    </w:pPr>
    <w:rPr>
      <w:sz w:val="18"/>
      <w:szCs w:val="18"/>
    </w:rPr>
  </w:style>
  <w:style w:type="paragraph" w:styleId="5">
    <w:name w:val="Title"/>
    <w:basedOn w:val="1"/>
    <w:next w:val="1"/>
    <w:link w:val="26"/>
    <w:qFormat/>
    <w:uiPriority w:val="0"/>
    <w:pPr>
      <w:widowControl w:val="0"/>
      <w:adjustRightInd/>
      <w:snapToGrid/>
      <w:spacing w:before="240" w:after="60"/>
      <w:jc w:val="center"/>
      <w:outlineLvl w:val="0"/>
    </w:pPr>
    <w:rPr>
      <w:rFonts w:ascii="Cambria" w:hAnsi="Cambria" w:eastAsia="宋体" w:cs="Times New Roman"/>
      <w:b/>
      <w:sz w:val="32"/>
      <w:szCs w:val="20"/>
    </w:rPr>
  </w:style>
  <w:style w:type="character" w:styleId="8">
    <w:name w:val="Strong"/>
    <w:basedOn w:val="7"/>
    <w:qFormat/>
    <w:uiPriority w:val="0"/>
    <w:rPr>
      <w:b/>
      <w:bCs/>
    </w:rPr>
  </w:style>
  <w:style w:type="character" w:styleId="9">
    <w:name w:val="FollowedHyperlink"/>
    <w:basedOn w:val="7"/>
    <w:qFormat/>
    <w:uiPriority w:val="0"/>
    <w:rPr>
      <w:color w:val="3D3D3D"/>
      <w:u w:val="none"/>
    </w:rPr>
  </w:style>
  <w:style w:type="character" w:styleId="10">
    <w:name w:val="Emphasis"/>
    <w:basedOn w:val="7"/>
    <w:qFormat/>
    <w:uiPriority w:val="0"/>
    <w:rPr>
      <w:b/>
      <w:bCs/>
    </w:rPr>
  </w:style>
  <w:style w:type="character" w:styleId="11">
    <w:name w:val="Hyperlink"/>
    <w:basedOn w:val="7"/>
    <w:qFormat/>
    <w:uiPriority w:val="0"/>
    <w:rPr>
      <w:color w:val="3D3D3D"/>
      <w:u w:val="none"/>
    </w:rPr>
  </w:style>
  <w:style w:type="paragraph" w:customStyle="1" w:styleId="12">
    <w:name w:val="批注框文本 Char Char"/>
    <w:basedOn w:val="1"/>
    <w:link w:val="27"/>
    <w:qFormat/>
    <w:uiPriority w:val="0"/>
    <w:pPr>
      <w:spacing w:after="0"/>
    </w:pPr>
    <w:rPr>
      <w:sz w:val="18"/>
      <w:szCs w:val="18"/>
    </w:rPr>
  </w:style>
  <w:style w:type="paragraph" w:customStyle="1" w:styleId="13">
    <w:name w:val="普通(网站)1"/>
    <w:basedOn w:val="1"/>
    <w:qFormat/>
    <w:uiPriority w:val="0"/>
    <w:pPr>
      <w:spacing w:beforeAutospacing="1" w:afterAutospacing="1"/>
    </w:pPr>
    <w:rPr>
      <w:rFonts w:cs="Times New Roman"/>
      <w:sz w:val="24"/>
      <w:szCs w:val="24"/>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列出段落1"/>
    <w:basedOn w:val="1"/>
    <w:qFormat/>
    <w:uiPriority w:val="0"/>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16">
    <w:name w:val="无间隔1"/>
    <w:qFormat/>
    <w:uiPriority w:val="0"/>
    <w:pPr>
      <w:pBdr>
        <w:top w:val="none" w:color="FFFFFF" w:sz="0" w:space="31"/>
        <w:left w:val="none" w:color="FFFFFF" w:sz="0" w:space="31"/>
        <w:bottom w:val="none" w:color="FFFFFF" w:sz="0" w:space="31"/>
        <w:right w:val="none" w:color="FFFFFF" w:sz="0" w:space="31"/>
      </w:pBdr>
    </w:pPr>
    <w:rPr>
      <w:rFonts w:ascii="Times New Roman" w:hAnsi="Times New Roman" w:eastAsia="宋体" w:cs="Times New Roman"/>
      <w:sz w:val="24"/>
      <w:szCs w:val="24"/>
      <w:lang w:val="en-US" w:eastAsia="en-US" w:bidi="ar-SA"/>
    </w:rPr>
  </w:style>
  <w:style w:type="paragraph" w:customStyle="1" w:styleId="17">
    <w:name w:val="修订1"/>
    <w:qFormat/>
    <w:uiPriority w:val="0"/>
    <w:rPr>
      <w:rFonts w:ascii="Tahoma" w:hAnsi="Tahoma" w:eastAsia="微软雅黑" w:cs="黑体"/>
      <w:sz w:val="22"/>
      <w:szCs w:val="22"/>
      <w:lang w:val="en-US" w:eastAsia="zh-CN" w:bidi="ar-SA"/>
    </w:rPr>
  </w:style>
  <w:style w:type="character" w:customStyle="1" w:styleId="18">
    <w:name w:val="HTML 定义1"/>
    <w:basedOn w:val="7"/>
    <w:qFormat/>
    <w:uiPriority w:val="0"/>
  </w:style>
  <w:style w:type="character" w:customStyle="1" w:styleId="19">
    <w:name w:val="HTML 变量1"/>
    <w:basedOn w:val="7"/>
    <w:qFormat/>
    <w:uiPriority w:val="0"/>
    <w:rPr>
      <w:sz w:val="20"/>
      <w:szCs w:val="20"/>
    </w:rPr>
  </w:style>
  <w:style w:type="character" w:customStyle="1" w:styleId="20">
    <w:name w:val="HTML 代码1"/>
    <w:basedOn w:val="7"/>
    <w:qFormat/>
    <w:uiPriority w:val="0"/>
    <w:rPr>
      <w:rFonts w:hint="default" w:ascii="Consolas" w:hAnsi="Consolas" w:eastAsia="Consolas" w:cs="Consolas"/>
      <w:color w:val="C7254E"/>
      <w:sz w:val="21"/>
      <w:szCs w:val="21"/>
      <w:shd w:val="clear" w:color="auto" w:fill="F9F2F4"/>
    </w:rPr>
  </w:style>
  <w:style w:type="character" w:customStyle="1" w:styleId="21">
    <w:name w:val="HTML 引文1"/>
    <w:basedOn w:val="7"/>
    <w:qFormat/>
    <w:uiPriority w:val="0"/>
  </w:style>
  <w:style w:type="character" w:customStyle="1" w:styleId="22">
    <w:name w:val="HTML 键盘1"/>
    <w:basedOn w:val="7"/>
    <w:qFormat/>
    <w:uiPriority w:val="0"/>
    <w:rPr>
      <w:rFonts w:ascii="Consolas" w:hAnsi="Consolas" w:eastAsia="Consolas" w:cs="Consolas"/>
      <w:color w:val="FFFFFF"/>
      <w:sz w:val="21"/>
      <w:szCs w:val="21"/>
      <w:shd w:val="clear" w:color="auto" w:fill="333333"/>
    </w:rPr>
  </w:style>
  <w:style w:type="character" w:customStyle="1" w:styleId="23">
    <w:name w:val="HTML 样本1"/>
    <w:basedOn w:val="7"/>
    <w:qFormat/>
    <w:uiPriority w:val="0"/>
    <w:rPr>
      <w:rFonts w:hint="default" w:ascii="Consolas" w:hAnsi="Consolas" w:eastAsia="Consolas" w:cs="Consolas"/>
      <w:sz w:val="21"/>
      <w:szCs w:val="21"/>
    </w:rPr>
  </w:style>
  <w:style w:type="character" w:customStyle="1" w:styleId="24">
    <w:name w:val="页眉 Char"/>
    <w:basedOn w:val="7"/>
    <w:link w:val="4"/>
    <w:semiHidden/>
    <w:qFormat/>
    <w:uiPriority w:val="0"/>
    <w:rPr>
      <w:rFonts w:ascii="Tahoma" w:hAnsi="Tahoma"/>
      <w:sz w:val="18"/>
      <w:szCs w:val="18"/>
    </w:rPr>
  </w:style>
  <w:style w:type="character" w:customStyle="1" w:styleId="25">
    <w:name w:val="页脚 Char"/>
    <w:basedOn w:val="7"/>
    <w:link w:val="3"/>
    <w:semiHidden/>
    <w:qFormat/>
    <w:uiPriority w:val="0"/>
    <w:rPr>
      <w:rFonts w:ascii="Tahoma" w:hAnsi="Tahoma"/>
      <w:sz w:val="18"/>
      <w:szCs w:val="18"/>
    </w:rPr>
  </w:style>
  <w:style w:type="character" w:customStyle="1" w:styleId="26">
    <w:name w:val="标题 Char"/>
    <w:basedOn w:val="7"/>
    <w:link w:val="5"/>
    <w:semiHidden/>
    <w:qFormat/>
    <w:uiPriority w:val="0"/>
    <w:rPr>
      <w:rFonts w:ascii="Cambria" w:hAnsi="Cambria" w:eastAsia="宋体" w:cs="Times New Roman"/>
      <w:b/>
      <w:sz w:val="32"/>
      <w:szCs w:val="20"/>
    </w:rPr>
  </w:style>
  <w:style w:type="character" w:customStyle="1" w:styleId="27">
    <w:name w:val="批注框文本 字符"/>
    <w:basedOn w:val="7"/>
    <w:link w:val="12"/>
    <w:semiHidden/>
    <w:qFormat/>
    <w:uiPriority w:val="0"/>
    <w:rPr>
      <w:rFonts w:ascii="Tahoma" w:hAnsi="Tahoma" w:eastAsia="微软雅黑" w:cs="黑体"/>
      <w:sz w:val="18"/>
      <w:szCs w:val="18"/>
    </w:rPr>
  </w:style>
  <w:style w:type="character" w:customStyle="1" w:styleId="28">
    <w:name w:val="wx-space"/>
    <w:basedOn w:val="7"/>
    <w:qFormat/>
    <w:uiPriority w:val="0"/>
  </w:style>
  <w:style w:type="character" w:customStyle="1" w:styleId="29">
    <w:name w:val="wx-space1"/>
    <w:basedOn w:val="7"/>
    <w:qFormat/>
    <w:uiPriority w:val="0"/>
  </w:style>
  <w:style w:type="character" w:customStyle="1" w:styleId="30">
    <w:name w:val="u-btn"/>
    <w:basedOn w:val="7"/>
    <w:qFormat/>
    <w:uiPriority w:val="0"/>
  </w:style>
  <w:style w:type="character" w:customStyle="1" w:styleId="31">
    <w:name w:val="hover6"/>
    <w:basedOn w:val="7"/>
    <w:qFormat/>
    <w:uiPriority w:val="0"/>
    <w:rPr>
      <w:color w:val="000000"/>
      <w:shd w:val="clear" w:color="auto" w:fill="FFFFFF"/>
    </w:rPr>
  </w:style>
  <w:style w:type="character" w:customStyle="1" w:styleId="32">
    <w:name w:val="first-child"/>
    <w:basedOn w:val="7"/>
    <w:qFormat/>
    <w:uiPriority w:val="0"/>
  </w:style>
  <w:style w:type="character" w:customStyle="1" w:styleId="33">
    <w:name w:val="layui-layer-tabnow"/>
    <w:basedOn w:val="7"/>
    <w:qFormat/>
    <w:uiPriority w:val="0"/>
    <w:rPr>
      <w:bdr w:val="single" w:color="CCCCCC" w:sz="6" w:space="0"/>
      <w:shd w:val="clear" w:color="auto" w:fill="FFFFFF"/>
    </w:rPr>
  </w:style>
  <w:style w:type="character" w:customStyle="1" w:styleId="34">
    <w:name w:val="z-open"/>
    <w:basedOn w:val="7"/>
    <w:qFormat/>
    <w:uiPriority w:val="0"/>
  </w:style>
  <w:style w:type="character" w:customStyle="1" w:styleId="35">
    <w:name w:val="ref"/>
    <w:basedOn w:val="7"/>
    <w:qFormat/>
    <w:uiPriority w:val="0"/>
  </w:style>
  <w:style w:type="paragraph" w:styleId="36">
    <w:name w:val="List Paragraph"/>
    <w:basedOn w:val="1"/>
    <w:qFormat/>
    <w:uiPriority w:val="34"/>
    <w:pPr>
      <w:ind w:firstLine="420" w:firstLineChars="200"/>
    </w:pPr>
  </w:style>
  <w:style w:type="paragraph" w:customStyle="1" w:styleId="37">
    <w:name w:val="修订2"/>
    <w:hidden/>
    <w:semiHidden/>
    <w:qFormat/>
    <w:uiPriority w:val="99"/>
    <w:rPr>
      <w:rFonts w:ascii="Tahoma" w:hAnsi="Tahoma" w:eastAsia="微软雅黑" w:cs="黑体"/>
      <w:sz w:val="22"/>
      <w:szCs w:val="22"/>
      <w:lang w:val="en-US" w:eastAsia="zh-CN" w:bidi="ar-SA"/>
    </w:rPr>
  </w:style>
  <w:style w:type="character" w:customStyle="1" w:styleId="38">
    <w:name w:val="批注框文本 Char"/>
    <w:basedOn w:val="7"/>
    <w:link w:val="2"/>
    <w:semiHidden/>
    <w:qFormat/>
    <w:uiPriority w:val="99"/>
    <w:rPr>
      <w:rFonts w:ascii="Tahoma" w:hAnsi="Tahoma" w:eastAsia="微软雅黑"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A21A4B-C7D7-4778-B589-C28AB2572B0D}">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Pages>
  <Words>381</Words>
  <Characters>2172</Characters>
  <Lines>18</Lines>
  <Paragraphs>5</Paragraphs>
  <TotalTime>43</TotalTime>
  <ScaleCrop>false</ScaleCrop>
  <LinksUpToDate>false</LinksUpToDate>
  <CharactersWithSpaces>2548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2023-03-08T07:04:00Z</dcterms:created>
  <dc:creator>lenovo</dc:creator>
  <cp:lastModifiedBy>WPS_1557277033</cp:lastModifiedBy>
  <cp:lastPrinted>2023-03-30T04:20:36Z</cp:lastPrinted>
  <dcterms:modified xsi:type="dcterms:W3CDTF">2023-03-30T04:31:10Z</dcterms:modified>
  <dc:title>黄金嘉</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31AC53C60E2F4A42891278B0C8956FA0</vt:lpwstr>
  </property>
</Properties>
</file>