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方正小标宋简体"/>
          <w:sz w:val="48"/>
          <w:szCs w:val="48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</w:p>
    <w:p>
      <w:pPr>
        <w:spacing w:line="360" w:lineRule="auto"/>
        <w:jc w:val="center"/>
        <w:rPr>
          <w:rFonts w:hint="default" w:ascii="方正小标宋简体" w:eastAsia="方正小标宋简体"/>
          <w:sz w:val="48"/>
          <w:szCs w:val="48"/>
          <w:lang w:val="en-US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砀山县人民政府</w:t>
      </w:r>
    </w:p>
    <w:p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中国联合网络通信有限公司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宿州市</w:t>
      </w:r>
      <w:r>
        <w:rPr>
          <w:rFonts w:hint="eastAsia" w:ascii="方正小标宋简体" w:eastAsia="方正小标宋简体"/>
          <w:sz w:val="48"/>
          <w:szCs w:val="48"/>
        </w:rPr>
        <w:t>分公司</w:t>
      </w:r>
    </w:p>
    <w:p>
      <w:pPr>
        <w:spacing w:line="360" w:lineRule="auto"/>
        <w:rPr>
          <w:rFonts w:hint="eastAsia" w:ascii="方正小标宋简体" w:eastAsia="方正小标宋简体"/>
          <w:sz w:val="48"/>
          <w:szCs w:val="48"/>
          <w:lang w:eastAsia="zh-CN"/>
        </w:rPr>
      </w:pPr>
    </w:p>
    <w:p>
      <w:pPr>
        <w:spacing w:line="360" w:lineRule="auto"/>
        <w:rPr>
          <w:rFonts w:ascii="方正小标宋简体" w:eastAsia="方正小标宋简体"/>
          <w:sz w:val="48"/>
          <w:szCs w:val="48"/>
        </w:rPr>
      </w:pPr>
    </w:p>
    <w:p>
      <w:pPr>
        <w:spacing w:line="360" w:lineRule="auto"/>
        <w:rPr>
          <w:rFonts w:ascii="方正小标宋简体" w:eastAsia="方正小标宋简体"/>
          <w:sz w:val="48"/>
          <w:szCs w:val="48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bookmarkStart w:id="0" w:name="_Hlk107154982"/>
      <w:r>
        <w:rPr>
          <w:rFonts w:hint="eastAsia" w:ascii="方正小标宋简体" w:eastAsia="方正小标宋简体"/>
          <w:sz w:val="48"/>
          <w:szCs w:val="48"/>
        </w:rPr>
        <w:t>推动“十四五”数字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砀山</w:t>
      </w:r>
      <w:r>
        <w:rPr>
          <w:rFonts w:hint="eastAsia" w:ascii="方正小标宋简体" w:eastAsia="方正小标宋简体"/>
          <w:sz w:val="48"/>
          <w:szCs w:val="48"/>
        </w:rPr>
        <w:t>建设</w:t>
      </w:r>
    </w:p>
    <w:p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战略合作框架协议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送审稿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bookmarkEnd w:id="0"/>
    <w:p>
      <w:pPr>
        <w:outlineLvl w:val="1"/>
        <w:rPr>
          <w:rFonts w:eastAsia="黑体"/>
          <w:color w:val="000000"/>
          <w:spacing w:val="6"/>
          <w:sz w:val="36"/>
          <w:szCs w:val="36"/>
        </w:rPr>
      </w:pPr>
    </w:p>
    <w:p>
      <w:pPr>
        <w:jc w:val="center"/>
        <w:outlineLvl w:val="1"/>
        <w:rPr>
          <w:rFonts w:eastAsia="黑体"/>
          <w:color w:val="000000"/>
          <w:spacing w:val="6"/>
          <w:sz w:val="36"/>
          <w:szCs w:val="36"/>
        </w:rPr>
      </w:pPr>
    </w:p>
    <w:p>
      <w:pPr>
        <w:jc w:val="center"/>
        <w:outlineLvl w:val="1"/>
        <w:rPr>
          <w:rFonts w:eastAsia="黑体"/>
          <w:color w:val="000000"/>
          <w:spacing w:val="6"/>
          <w:sz w:val="36"/>
          <w:szCs w:val="36"/>
        </w:rPr>
      </w:pPr>
    </w:p>
    <w:p>
      <w:pPr>
        <w:jc w:val="center"/>
        <w:outlineLvl w:val="1"/>
        <w:rPr>
          <w:rFonts w:eastAsia="黑体"/>
          <w:color w:val="000000"/>
          <w:spacing w:val="0"/>
          <w:sz w:val="36"/>
          <w:szCs w:val="36"/>
        </w:rPr>
      </w:pPr>
      <w:r>
        <w:rPr>
          <w:rFonts w:eastAsia="黑体"/>
          <w:color w:val="000000"/>
          <w:spacing w:val="0"/>
          <w:sz w:val="36"/>
          <w:szCs w:val="36"/>
        </w:rPr>
        <w:t>202</w:t>
      </w:r>
      <w:r>
        <w:rPr>
          <w:rFonts w:hint="eastAsia" w:eastAsia="黑体"/>
          <w:color w:val="000000"/>
          <w:spacing w:val="0"/>
          <w:sz w:val="36"/>
          <w:szCs w:val="36"/>
          <w:lang w:val="en-US" w:eastAsia="zh-CN"/>
        </w:rPr>
        <w:t>3</w:t>
      </w:r>
      <w:r>
        <w:rPr>
          <w:rFonts w:eastAsia="黑体"/>
          <w:color w:val="000000"/>
          <w:spacing w:val="0"/>
          <w:sz w:val="36"/>
          <w:szCs w:val="36"/>
        </w:rPr>
        <w:t>年</w:t>
      </w:r>
      <w:r>
        <w:rPr>
          <w:rFonts w:hint="eastAsia" w:eastAsia="黑体"/>
          <w:color w:val="000000"/>
          <w:spacing w:val="0"/>
          <w:sz w:val="36"/>
          <w:szCs w:val="36"/>
          <w:lang w:val="en-US" w:eastAsia="zh-CN"/>
        </w:rPr>
        <w:t>7</w:t>
      </w:r>
      <w:r>
        <w:rPr>
          <w:rFonts w:eastAsia="黑体"/>
          <w:color w:val="000000"/>
          <w:spacing w:val="0"/>
          <w:sz w:val="36"/>
          <w:szCs w:val="36"/>
        </w:rPr>
        <w:t>月</w:t>
      </w:r>
    </w:p>
    <w:p>
      <w:pPr>
        <w:jc w:val="center"/>
        <w:outlineLvl w:val="1"/>
        <w:rPr>
          <w:rFonts w:hint="eastAsia" w:ascii="仿宋_GB2312" w:eastAsia="仿宋_GB2312"/>
          <w:color w:val="000000"/>
          <w:spacing w:val="0"/>
          <w:sz w:val="36"/>
          <w:szCs w:val="36"/>
          <w:lang w:val="en-US" w:eastAsia="zh-CN"/>
        </w:rPr>
        <w:sectPr>
          <w:pgSz w:w="11907" w:h="16840"/>
          <w:pgMar w:top="1797" w:right="1440" w:bottom="1797" w:left="1440" w:header="851" w:footer="1531" w:gutter="0"/>
          <w:pgNumType w:start="1"/>
          <w:cols w:space="720" w:num="1"/>
          <w:docGrid w:type="lines" w:linePitch="435" w:charSpace="0"/>
        </w:sectPr>
      </w:pPr>
      <w:r>
        <w:rPr>
          <w:rFonts w:hint="eastAsia" w:ascii="仿宋_GB2312"/>
          <w:color w:val="000000"/>
          <w:spacing w:val="0"/>
          <w:sz w:val="36"/>
          <w:szCs w:val="36"/>
        </w:rPr>
        <w:t>签约地：安徽</w:t>
      </w:r>
      <w:r>
        <w:rPr>
          <w:rFonts w:hint="eastAsia" w:ascii="仿宋_GB2312"/>
          <w:color w:val="000000"/>
          <w:sz w:val="36"/>
          <w:szCs w:val="36"/>
        </w:rPr>
        <w:t>·</w:t>
      </w:r>
      <w:r>
        <w:rPr>
          <w:rFonts w:hint="eastAsia" w:ascii="仿宋_GB2312"/>
          <w:color w:val="000000"/>
          <w:sz w:val="36"/>
          <w:szCs w:val="36"/>
          <w:lang w:val="en-US" w:eastAsia="zh-CN"/>
        </w:rPr>
        <w:t>砀山县</w:t>
      </w:r>
    </w:p>
    <w:p>
      <w:pPr>
        <w:spacing w:line="600" w:lineRule="exact"/>
        <w:ind w:firstLine="680" w:firstLineChars="200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为全面贯彻习近平新时代中国特色社会主义思想和党的二十大精神，围绕网络强国、数字中国、智慧社会等国家重大战略部署，推动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5G网络、云计算、大数据、物联网、人工智能、工业互联网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及智能制造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与实体经济的深度融合，激发新动能，打造新业态，为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数字政府、新型智慧城市建设赋能增力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砀山县人民政府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中国联合网络通信有限公司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宿州市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分公司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（以下简称“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联通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”）经友好协商，决定建立长期战略合作伙伴关系，并达成如下战略合作协议：</w:t>
      </w:r>
    </w:p>
    <w:p>
      <w:pPr>
        <w:spacing w:line="600" w:lineRule="exact"/>
        <w:ind w:firstLine="680" w:firstLineChars="200"/>
        <w:rPr>
          <w:rFonts w:eastAsia="黑体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一、合作宗旨</w:t>
      </w:r>
    </w:p>
    <w:p>
      <w:pPr>
        <w:spacing w:line="600" w:lineRule="exact"/>
        <w:ind w:firstLine="680" w:firstLineChars="200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深入贯彻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安徽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省和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“十四五”规划，顺应数字时代发展潮流，坚定不移实施数字化战略，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全力加快建设数字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双方按照“政府引导、企业主体、优势互补、互利共赢”的原则，开展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科创平台、数字信息基础设施、数字政府、数字经济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等重点领域的建设与合作，营造良好数字生态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打造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砀山县大数据产业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优势。</w:t>
      </w:r>
    </w:p>
    <w:p>
      <w:pPr>
        <w:numPr>
          <w:ilvl w:val="0"/>
          <w:numId w:val="1"/>
        </w:numPr>
        <w:spacing w:line="600" w:lineRule="exact"/>
        <w:ind w:firstLine="680" w:firstLineChars="200"/>
        <w:rPr>
          <w:rFonts w:eastAsia="黑体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合作内容</w:t>
      </w:r>
    </w:p>
    <w:p>
      <w:pPr>
        <w:spacing w:line="576" w:lineRule="exact"/>
        <w:ind w:firstLine="683" w:firstLineChars="200"/>
        <w:rPr>
          <w:rFonts w:hint="eastAsia" w:ascii="仿宋_GB2312" w:hAnsi="仿宋_GB2312" w:eastAsia="仿宋_GB2312" w:cs="仿宋_GB2312"/>
          <w:b/>
          <w:bCs/>
          <w:spacing w:val="10"/>
          <w:szCs w:val="32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pacing w:val="10"/>
          <w:szCs w:val="32"/>
        </w:rPr>
        <w:t>数字信息基础设施建设方向</w:t>
      </w:r>
    </w:p>
    <w:p>
      <w:pPr>
        <w:pStyle w:val="6"/>
        <w:widowControl/>
        <w:spacing w:beforeAutospacing="0" w:afterAutospacing="0" w:line="600" w:lineRule="exact"/>
        <w:ind w:firstLine="680" w:firstLineChars="200"/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全面加速5G网络建设，加快推进5G应用规模发展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  <w:t>实施双千兆网络系统工程，在建设5G网络的同时，实现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  <w:t>千兆宽带全域高品质覆盖，满足“万兆到企，千兆到户”接入能力，促成固移融合、网业协同发展。推进千兆网络普及，到202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年底基本完成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小区/写字楼的联通光纤宽带接入及老旧小区联通宽带光纤化改造。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  <w:t>依法依规为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宿州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联通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提供相关政策支持和落实协调。</w:t>
      </w:r>
    </w:p>
    <w:p>
      <w:pPr>
        <w:numPr>
          <w:ilvl w:val="0"/>
          <w:numId w:val="2"/>
        </w:numPr>
        <w:spacing w:line="576" w:lineRule="exact"/>
        <w:ind w:firstLine="683" w:firstLineChars="200"/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数字政府建设方向</w:t>
      </w:r>
    </w:p>
    <w:p>
      <w:pPr>
        <w:autoSpaceDE w:val="0"/>
        <w:autoSpaceDN w:val="0"/>
        <w:adjustRightInd w:val="0"/>
        <w:snapToGrid w:val="0"/>
        <w:spacing w:line="620" w:lineRule="exact"/>
        <w:ind w:firstLine="680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宿州</w:t>
      </w:r>
      <w:r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联通持续锻造“云、大、物、智、链、安”6大核心能力，持续推进创新能力组织建设，全面加速新一代信息技术发展与应用，积极构建创新能力矩阵体系，致力成为数字经济转型的使能者，切实推动</w:t>
      </w:r>
      <w:r>
        <w:rPr>
          <w:rFonts w:hint="eastAsia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砀山县</w:t>
      </w:r>
      <w:r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各领域数字化优化升级，全方位加速数字化变革，更好服务地方数字经济发展。</w:t>
      </w:r>
    </w:p>
    <w:p>
      <w:pPr>
        <w:autoSpaceDE w:val="0"/>
        <w:autoSpaceDN w:val="0"/>
        <w:adjustRightInd w:val="0"/>
        <w:snapToGrid w:val="0"/>
        <w:spacing w:line="620" w:lineRule="exact"/>
        <w:ind w:firstLine="680" w:firstLineChars="200"/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在云计算方面，升级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联通云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布局“视频云、存储云、信创云、分布式云、物联感知云、混合云”6大场景云，持续完善联通云资源、云平台、云安全等新型基础设施建设，面向数字政府、智慧城市、工业互联网等领域提供联通云基座及PaaS平台能力。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620" w:lineRule="exact"/>
        <w:ind w:firstLine="680" w:firstLineChars="200"/>
        <w:jc w:val="left"/>
        <w:rPr>
          <w:rFonts w:hint="default"/>
          <w:lang w:val="en-US" w:eastAsia="zh-CN"/>
        </w:rPr>
      </w:pPr>
      <w:r>
        <w:rPr>
          <w:rFonts w:hint="eastAsia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宿州</w:t>
      </w:r>
      <w:r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联通发挥自身优势，充分运用新信息技术手段，着力提升云服务层级，优化政务网络建设，助力</w:t>
      </w:r>
      <w:r>
        <w:rPr>
          <w:rFonts w:hint="eastAsia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砀山县</w:t>
      </w:r>
      <w:r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数字政府建设走在全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前列。围绕“推进公共数据有序共享开放、推动政务信息化共建共用、提高数字化政务服务效能”规划目标，紧扣“一个中心、一朵云、一张网、一个平台”，积极运用新技术、新手段，</w:t>
      </w:r>
      <w:r>
        <w:rPr>
          <w:rFonts w:hint="eastAsia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建设“城市大脑”平台，</w:t>
      </w:r>
      <w:r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推动数字技术与政务服务深度融合，提供更优解决方案，助力政务服务模式重构和政府治理</w:t>
      </w:r>
      <w:r>
        <w:rPr>
          <w:rFonts w:hint="eastAsia" w:cs="Times New Roman"/>
          <w:color w:val="000000" w:themeColor="text1"/>
          <w:spacing w:val="1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范式</w:t>
      </w:r>
      <w:r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重塑。参与数字政府强基工程建设，加强政务云建设，提高政务云全栈服务能力，实现云计算技术在政务云上的创新应用。加快建设泛在、柔性、智慧新型政务网络，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提高政务网络承载能力</w:t>
      </w:r>
      <w:r>
        <w:rPr>
          <w:rFonts w:hint="default" w:ascii="Times New Roman" w:hAnsi="Times New Roman" w:eastAsia="仿宋_GB2312" w:cs="Times New Roman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，助力打造“政务网络高速公路”，为夯实数字政府“底座”提供支撑。</w:t>
      </w:r>
    </w:p>
    <w:p>
      <w:pPr>
        <w:spacing w:line="576" w:lineRule="exact"/>
        <w:ind w:firstLine="683" w:firstLineChars="200"/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（三）招商引资建设方向</w:t>
      </w:r>
    </w:p>
    <w:p>
      <w:pPr>
        <w:pStyle w:val="6"/>
        <w:widowControl/>
        <w:spacing w:beforeAutospacing="0" w:afterAutospacing="0" w:line="600" w:lineRule="exact"/>
        <w:ind w:firstLine="680" w:firstLineChars="200"/>
        <w:rPr>
          <w:rFonts w:hint="eastAsia" w:eastAsia="仿宋_GB2312"/>
          <w:color w:val="000000" w:themeColor="text1"/>
          <w:spacing w:val="1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  <w:t>围绕“重点环节、区域目标、路径手段、企业评价、高效管理”五大核心招商问题，依托大数据、人工智能等技术，融合海量企业相关信息，定制化建设大数据精准招商平台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  <w:t>为各地区提供“精准化、快捷化、全面化、稳定化”的招商辅助服务。整合企业静态和动态信息，从企业投资能力、投资意向等角度，建立“5大维度、16项一级指标”的动态评价体系，结合反向传播算法、机器学习、实践检验等，全面评估企业的投资意向和投资特点，为招商引资决策提供支撑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  <w:t>助力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14:textFill>
            <w14:solidFill>
              <w14:schemeClr w14:val="tx1"/>
            </w14:solidFill>
          </w14:textFill>
        </w:rPr>
        <w:t>产业升级改造、新旧动能转换</w:t>
      </w:r>
      <w:r>
        <w:rPr>
          <w:rFonts w:hint="eastAsia"/>
          <w:color w:val="000000" w:themeColor="text1"/>
          <w:spacing w:val="1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6" w:lineRule="exact"/>
        <w:ind w:firstLine="683" w:firstLineChars="200"/>
        <w:rPr>
          <w:rFonts w:hint="eastAsia" w:ascii="仿宋_GB2312" w:hAnsi="仿宋_GB2312" w:eastAsia="仿宋_GB2312" w:cs="仿宋_GB2312"/>
          <w:b/>
          <w:bCs/>
          <w:spacing w:val="10"/>
          <w:szCs w:val="32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pacing w:val="10"/>
          <w:szCs w:val="32"/>
        </w:rPr>
        <w:t>工业互联网</w:t>
      </w:r>
      <w:r>
        <w:rPr>
          <w:rFonts w:hint="eastAsia" w:ascii="仿宋_GB2312" w:hAnsi="仿宋_GB2312" w:eastAsia="仿宋_GB2312" w:cs="仿宋_GB2312"/>
          <w:b/>
          <w:bCs/>
          <w:spacing w:val="10"/>
          <w:szCs w:val="32"/>
          <w:lang w:val="en-US" w:eastAsia="zh-CN"/>
        </w:rPr>
        <w:t>及智能制造</w:t>
      </w:r>
      <w:r>
        <w:rPr>
          <w:rFonts w:hint="eastAsia" w:ascii="仿宋_GB2312" w:hAnsi="仿宋_GB2312" w:eastAsia="仿宋_GB2312" w:cs="仿宋_GB2312"/>
          <w:b/>
          <w:bCs/>
          <w:spacing w:val="10"/>
          <w:szCs w:val="32"/>
        </w:rPr>
        <w:t>建设方向</w:t>
      </w:r>
    </w:p>
    <w:p>
      <w:pPr>
        <w:spacing w:line="600" w:lineRule="exact"/>
        <w:ind w:firstLine="680" w:firstLineChars="200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联通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依托5G+工业互联网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及智能制造领域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在全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的实践优势，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围绕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新型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instrText xml:space="preserve"> HYPERLINK "https://baike.baidu.com/item/%E4%BC%A0%E6%84%9F%E6%8A%80%E6%9C%AF?fromModule=lemma_inlink" \t "https://baike.baidu.com/item/%E6%99%BA%E8%83%BD%E5%88%B6%E9%80%A0/_blank" </w:instrTex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传感技术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先进控制与模块优化技术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、嵌入式控制系统设计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等技术，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帮助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制造业企业转型升级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智能制造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，为制造业企业提供5G专网建设服务，着力发展5G MEC边缘云计算，为企业提供“网络+平台+应用+安全”专属解决方案，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进一步丰富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5G+工业互联网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和智能制造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应用场景，形成示范样板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。帮助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打造全市工业互联网企业标杆。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依法依规为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联通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提供相关政策支持及宣传推广支持。</w:t>
      </w:r>
    </w:p>
    <w:p>
      <w:pPr>
        <w:spacing w:line="600" w:lineRule="exact"/>
        <w:ind w:firstLine="680" w:firstLineChars="200"/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联通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在工业互联网领域创新发展，与发改、经信、科技管理部门、工业企业、相关协会等发挥各自优势，促进制造业企业数字化转型、规模化发展。</w:t>
      </w:r>
    </w:p>
    <w:p>
      <w:pPr>
        <w:spacing w:line="576" w:lineRule="exact"/>
        <w:ind w:firstLine="683" w:firstLineChars="200"/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（五</w:t>
      </w:r>
      <w:r>
        <w:rPr>
          <w:rFonts w:hint="default" w:ascii="仿宋_GB2312" w:hAnsi="仿宋_GB2312" w:cs="仿宋_GB2312"/>
          <w:b/>
          <w:bCs/>
          <w:spacing w:val="10"/>
          <w:szCs w:val="32"/>
          <w:lang w:val="en-US" w:eastAsia="zh-CN"/>
        </w:rPr>
        <w:t>）智慧交通建设方向</w:t>
      </w:r>
    </w:p>
    <w:p>
      <w:pPr>
        <w:spacing w:line="576" w:lineRule="exact"/>
        <w:ind w:firstLine="680" w:firstLineChars="200"/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宿州联通依托在“5G+V2X 车路协同”、物联网和大数据能力，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highlight w:val="none"/>
          <w:lang w:val="en-US" w:eastAsia="zh-CN"/>
        </w:rPr>
        <w:t>与砀山县人民政府共同推进信号联动和智慧通行等交通管理以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及基于物联网的智能高速、数字航道、公交一体化等交通场景的信息化建设，依托大数据能力，推进砀山县交通运输行业构建数字化治理体系，推动治超工作向数字化、精准化、高效化发展。</w:t>
      </w:r>
    </w:p>
    <w:p>
      <w:pPr>
        <w:spacing w:line="576" w:lineRule="exact"/>
        <w:ind w:firstLine="683" w:firstLineChars="200"/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（六）智慧旅游建设方向</w:t>
      </w:r>
    </w:p>
    <w:p>
      <w:pPr>
        <w:spacing w:line="576" w:lineRule="exact"/>
        <w:ind w:firstLine="68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宿州</w:t>
      </w:r>
      <w:r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  <w:t>联通依托旅游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领域的先进技术和网络保障能力</w:t>
      </w:r>
      <w:r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  <w:t>助力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砀山古城</w:t>
      </w:r>
      <w:r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  <w:t>创建国家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级3A</w:t>
      </w:r>
      <w:r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  <w:t>旅游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景</w:t>
      </w:r>
      <w:r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  <w:t>区、建设智慧旅游智慧景区、打造一批智慧旅游示范村镇、提升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砀山县</w:t>
      </w:r>
      <w:r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  <w:t>文化和旅游行业治理水平，推进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砀山县</w:t>
      </w:r>
      <w:r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  <w:t>旅游产业数字</w:t>
      </w:r>
      <w:bookmarkStart w:id="1" w:name="_GoBack"/>
      <w:bookmarkEnd w:id="1"/>
      <w:r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  <w:t>化转型，实现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砀山县</w:t>
      </w:r>
      <w:r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  <w:t>文化和旅游高质量产品供给、服务消费升级、优质文化内容传播，助力文化自信。</w:t>
      </w:r>
    </w:p>
    <w:p>
      <w:pPr>
        <w:spacing w:line="576" w:lineRule="exact"/>
        <w:ind w:firstLine="683" w:firstLineChars="200"/>
        <w:rPr>
          <w:rFonts w:hint="eastAsia" w:ascii="仿宋_GB2312" w:hAnsi="仿宋_GB2312" w:eastAsia="仿宋_GB2312" w:cs="仿宋_GB2312"/>
          <w:b/>
          <w:bCs/>
          <w:spacing w:val="10"/>
          <w:szCs w:val="32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b/>
          <w:bCs/>
          <w:spacing w:val="10"/>
          <w:szCs w:val="32"/>
        </w:rPr>
        <w:t>智慧教育建设方向</w:t>
      </w:r>
    </w:p>
    <w:p>
      <w:pPr>
        <w:spacing w:line="576" w:lineRule="exact"/>
        <w:ind w:firstLine="680" w:firstLineChars="200"/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宿州联通积极开展5G+信息技术与教育教学深度融合的教育信息化建设，加大赋能智慧教育供给，助力推进砀山县“互联网+教育”进程，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highlight w:val="none"/>
          <w:lang w:val="en-US" w:eastAsia="zh-CN"/>
        </w:rPr>
        <w:t>加大数据治理和数据中台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在教育领域的应用力度，着实解决教育系统数据孤岛问题，提升砀山县学校信息化应用和信息安全水平；利用信息化手段整合优质教育资源建设与应用，</w:t>
      </w:r>
      <w:r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  <w:t>积极打造5G教育云、5G教育专网、5G智慧校园、教育大数据及综合评价等教育信息化服务产品，助力智慧教学变革。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扩大优质教育资源覆盖面，夯实数字教育底座，构建智慧教育生态，与砀山县人民政府共同探索5G时代教育信息化治理新模式。</w:t>
      </w:r>
    </w:p>
    <w:p>
      <w:pPr>
        <w:spacing w:line="576" w:lineRule="exact"/>
        <w:ind w:firstLine="683" w:firstLineChars="200"/>
        <w:rPr>
          <w:rFonts w:hint="eastAsia" w:ascii="仿宋_GB2312" w:hAnsi="仿宋_GB2312" w:eastAsia="仿宋_GB2312" w:cs="仿宋_GB2312"/>
          <w:b/>
          <w:bCs/>
          <w:spacing w:val="10"/>
          <w:szCs w:val="32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eastAsia="zh-CN"/>
        </w:rPr>
        <w:t>（</w:t>
      </w: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八</w:t>
      </w:r>
      <w:r>
        <w:rPr>
          <w:rFonts w:hint="eastAsia" w:ascii="仿宋_GB2312" w:hAnsi="仿宋_GB2312" w:cs="仿宋_GB2312"/>
          <w:b/>
          <w:bCs/>
          <w:spacing w:val="10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0"/>
          <w:szCs w:val="32"/>
        </w:rPr>
        <w:t>应急管理建设方向</w:t>
      </w:r>
    </w:p>
    <w:p>
      <w:pPr>
        <w:spacing w:line="600" w:lineRule="exact"/>
        <w:ind w:firstLine="680" w:firstLineChars="200"/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联通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基于省市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应急通信、应急指挥和应急数据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台建设等领域的先进技术和网络保障能力，在自然灾害、安全生产和城市安全风险监测预警等方面与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开展合作，提升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应急服务能力和水平，推进建设天地空泛在一体化的物联感知系统。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76" w:lineRule="exact"/>
        <w:ind w:firstLine="683" w:firstLineChars="200"/>
        <w:rPr>
          <w:rFonts w:hint="eastAsia" w:ascii="仿宋_GB2312" w:hAnsi="仿宋_GB2312" w:eastAsia="仿宋_GB2312" w:cs="仿宋_GB2312"/>
          <w:b/>
          <w:bCs/>
          <w:spacing w:val="10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b/>
          <w:bCs/>
          <w:spacing w:val="10"/>
          <w:szCs w:val="32"/>
          <w:lang w:val="en-US" w:eastAsia="zh-CN"/>
        </w:rPr>
        <w:t>公共安全建设方向</w:t>
      </w:r>
    </w:p>
    <w:p>
      <w:pPr>
        <w:spacing w:line="600" w:lineRule="exact"/>
        <w:ind w:firstLine="680" w:firstLineChars="200"/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联通运用5G切片和UPF下沉技术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/>
          <w:color w:val="000000" w:themeColor="text1"/>
          <w:spacing w:val="10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新的光纤承载网络技术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，建设大数据平台和视频图像智能化应用平台，深化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平安城市建设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提升砀山县公共安全服务能力和建设水平。</w:t>
      </w:r>
    </w:p>
    <w:p>
      <w:pPr>
        <w:spacing w:line="600" w:lineRule="exact"/>
        <w:ind w:firstLine="680" w:firstLineChars="200"/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依托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联通</w:t>
      </w:r>
      <w:r>
        <w:rPr>
          <w:rFonts w:hint="default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在5G通信、视频图像等方面的技术力量和资源优势，探索开展量子加密技术在公安信息网络安全方面的应用、5G切片技术在移动警务方面的应用。拓展5G执法记录仪、5G网联无人机、智能警用头盔、警用机器人等创新应用，提升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</w:t>
      </w:r>
      <w:r>
        <w:rPr>
          <w:rFonts w:hint="default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智慧警务服务能力和建设水平。</w:t>
      </w:r>
    </w:p>
    <w:p>
      <w:pPr>
        <w:spacing w:line="576" w:lineRule="exact"/>
        <w:ind w:firstLine="683" w:firstLineChars="200"/>
        <w:rPr>
          <w:rFonts w:hint="eastAsia" w:ascii="仿宋_GB2312" w:hAnsi="仿宋_GB2312" w:eastAsia="仿宋_GB2312" w:cs="仿宋_GB2312"/>
          <w:b/>
          <w:bCs/>
          <w:spacing w:val="10"/>
          <w:szCs w:val="32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b/>
          <w:bCs/>
          <w:spacing w:val="10"/>
          <w:szCs w:val="32"/>
        </w:rPr>
        <w:t>公共卫生建设方向</w:t>
      </w:r>
    </w:p>
    <w:p>
      <w:pPr>
        <w:spacing w:line="600" w:lineRule="exact"/>
        <w:ind w:firstLine="680" w:firstLineChars="200"/>
        <w:rPr>
          <w:rFonts w:hint="eastAsia" w:eastAsia="仿宋_GB2312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联通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依托常驻区县机构和人员、基础网络资源，以云计算、5G网络为载体，构建贴合智慧医疗的数据资源，在医政监管、区域医疗、医院信息平台建设、疫情防控、重大卫生事件保障等方面提供支撑，协助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提升医疗信息化水平，实现区域内信息互联互通，与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探索“</w:t>
      </w:r>
      <w:r>
        <w:rPr>
          <w:rFonts w:hint="eastAsia"/>
          <w:color w:val="000000" w:themeColor="text1"/>
          <w:spacing w:val="10"/>
          <w:szCs w:val="32"/>
          <w:highlight w:val="none"/>
          <w14:textFill>
            <w14:solidFill>
              <w14:schemeClr w14:val="tx1"/>
            </w14:solidFill>
          </w14:textFill>
        </w:rPr>
        <w:t>智慧医疗”“健康</w:t>
      </w:r>
      <w:r>
        <w:rPr>
          <w:rFonts w:hint="eastAsia"/>
          <w:color w:val="000000" w:themeColor="text1"/>
          <w:spacing w:val="1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”新模式。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联通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公共卫生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领域创新发展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576" w:lineRule="exact"/>
        <w:ind w:firstLine="683" w:firstLineChars="200"/>
        <w:rPr>
          <w:rFonts w:hint="eastAsia" w:ascii="仿宋_GB2312" w:hAnsi="仿宋_GB2312" w:eastAsia="仿宋_GB2312" w:cs="仿宋_GB2312"/>
          <w:b/>
          <w:bCs/>
          <w:spacing w:val="10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eastAsia="zh-CN"/>
        </w:rPr>
        <w:t>（</w:t>
      </w: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十一</w:t>
      </w:r>
      <w:r>
        <w:rPr>
          <w:rFonts w:hint="eastAsia" w:ascii="仿宋_GB2312" w:hAnsi="仿宋_GB2312" w:cs="仿宋_GB2312"/>
          <w:b/>
          <w:bCs/>
          <w:spacing w:val="10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0"/>
          <w:szCs w:val="32"/>
        </w:rPr>
        <w:t>智慧农业建设方向</w:t>
      </w:r>
    </w:p>
    <w:p>
      <w:pPr>
        <w:numPr>
          <w:ilvl w:val="0"/>
          <w:numId w:val="0"/>
        </w:numPr>
        <w:spacing w:line="576" w:lineRule="exact"/>
        <w:ind w:firstLine="680" w:firstLineChars="200"/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宿州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Cs w:val="32"/>
        </w:rPr>
        <w:t>联通基于对数字农业领域需求的研究，发挥在农业资源、农业产业技术及农业数字化等方面的优势，资源共享，利用现代科学技术与农业种植相结合，从而实现无人化、自动化、智能化管理。充分利用5G、云计算、物联网、大数据、区块链、人工智能等数字化手段，实现农业生产环境的智能感知、智能预警、智能决策、智能分析、专家在线指导，为农业生产提供精准化种植、可视化管理、智能化决策，推进信息化应用于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智慧农业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Cs w:val="32"/>
        </w:rPr>
        <w:t>建设和治理。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联通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智慧农业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领域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深度参与，共同探索智慧农业在砀山县的创新应用。</w:t>
      </w:r>
    </w:p>
    <w:p>
      <w:pPr>
        <w:numPr>
          <w:ilvl w:val="0"/>
          <w:numId w:val="0"/>
        </w:numPr>
        <w:spacing w:line="576" w:lineRule="exact"/>
        <w:ind w:firstLine="683" w:firstLineChars="200"/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pacing w:val="10"/>
          <w:szCs w:val="32"/>
          <w:lang w:val="en-US" w:eastAsia="zh-CN"/>
        </w:rPr>
        <w:t>（十二）</w:t>
      </w:r>
      <w:r>
        <w:rPr>
          <w:rFonts w:hint="default" w:ascii="仿宋_GB2312" w:hAnsi="仿宋_GB2312" w:cs="仿宋_GB2312"/>
          <w:b/>
          <w:bCs/>
          <w:spacing w:val="10"/>
          <w:szCs w:val="32"/>
          <w:lang w:val="en-US" w:eastAsia="zh-CN"/>
        </w:rPr>
        <w:t>数字乡村建设方向</w:t>
      </w:r>
    </w:p>
    <w:p>
      <w:pPr>
        <w:numPr>
          <w:ilvl w:val="0"/>
          <w:numId w:val="0"/>
        </w:numPr>
        <w:spacing w:line="576" w:lineRule="exact"/>
        <w:ind w:firstLine="680" w:firstLineChars="200"/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推动砀山县数字乡村建设，构建以党建引领、技术创新、数据驱动为一体的数字乡村发展体系，稳步推进乡村数字经济、智慧绿色乡村、乡村网络文化、乡村数字治理、信息惠民服务的建设，不断激发乡村发展内生动力，通过数字化赋能，持续提升农民群众获得感、幸福感、安全感。推进 5G、云计算、大数据、物联网等新型基础设施建设和应用，打造农业强、农村美、农民富的新型乡村，为实现乡村振兴计划提供强劲助力。</w:t>
      </w:r>
    </w:p>
    <w:p>
      <w:pPr>
        <w:pStyle w:val="2"/>
        <w:rPr>
          <w:rFonts w:hint="eastAsia"/>
          <w:strike/>
          <w:dstrike w:val="0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firstLine="683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32"/>
          <w:szCs w:val="32"/>
          <w:u w:val="none"/>
          <w:lang w:val="en-US" w:eastAsia="zh-CN" w:bidi="ar-SA"/>
        </w:rPr>
        <w:t>合作事宜</w:t>
      </w:r>
    </w:p>
    <w:p>
      <w:pPr>
        <w:numPr>
          <w:ilvl w:val="0"/>
          <w:numId w:val="0"/>
        </w:numPr>
        <w:spacing w:line="576" w:lineRule="exact"/>
        <w:ind w:firstLine="683" w:firstLineChars="200"/>
        <w:rPr>
          <w:rFonts w:hint="eastAsia" w:ascii="仿宋_GB2312" w:hAnsi="仿宋_GB2312" w:cs="仿宋_GB2312"/>
          <w:b/>
          <w:bCs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spacing w:val="10"/>
          <w:kern w:val="2"/>
          <w:sz w:val="32"/>
          <w:szCs w:val="32"/>
          <w:lang w:val="en-US" w:eastAsia="zh-CN" w:bidi="ar-SA"/>
        </w:rPr>
        <w:t>（一）砀山县人民政府</w:t>
      </w:r>
    </w:p>
    <w:p>
      <w:pPr>
        <w:numPr>
          <w:ilvl w:val="0"/>
          <w:numId w:val="0"/>
        </w:numPr>
        <w:spacing w:line="576" w:lineRule="exact"/>
        <w:ind w:firstLine="680" w:firstLineChars="200"/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将宿州联通作为重要的战略合作伙伴，为宿州联通传输管道建设、线路迁改等数字基础设施建设提供政策支持，鼓励宿州联通在当地投资、建设和发展，支持宿州联通深度参与城市大脑、政务云、智慧交通、智慧文旅、智慧党建、智慧社区、智慧教育、智慧医疗、智慧农业、公共安全等信息化项目，鼓励动员社会各界广泛参与5G应用的联合创新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576" w:lineRule="exact"/>
        <w:ind w:firstLine="683" w:firstLineChars="200"/>
        <w:rPr>
          <w:rFonts w:hint="eastAsia" w:ascii="仿宋_GB2312" w:hAnsi="仿宋_GB2312" w:cs="仿宋_GB2312"/>
          <w:b/>
          <w:bCs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spacing w:val="10"/>
          <w:kern w:val="2"/>
          <w:sz w:val="32"/>
          <w:szCs w:val="32"/>
          <w:lang w:val="en-US" w:eastAsia="zh-CN" w:bidi="ar-SA"/>
        </w:rPr>
        <w:t>（二）宿州联通</w:t>
      </w:r>
    </w:p>
    <w:p>
      <w:pPr>
        <w:numPr>
          <w:ilvl w:val="0"/>
          <w:numId w:val="0"/>
        </w:numPr>
        <w:spacing w:line="576" w:lineRule="exact"/>
        <w:ind w:firstLine="680" w:firstLineChars="200"/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将砀山县人民政府作为重要的战略合作伙伴，在5G应用创新等方面给予人才、技术、资金倾斜，为居民、政府、企业提供优质的通信和信息化服务，推动砀山县数字政府建设。宿州联通依托</w:t>
      </w:r>
      <w:r>
        <w:rPr>
          <w:rFonts w:hint="default" w:ascii="仿宋_GB2312" w:hAnsi="仿宋_GB2312" w:cs="仿宋_GB2312"/>
          <w:b w:val="0"/>
          <w:bCs w:val="0"/>
          <w:spacing w:val="10"/>
          <w:szCs w:val="32"/>
          <w:lang w:val="en-US" w:eastAsia="zh-CN"/>
        </w:rPr>
        <w:t>“云、大、物、智、链、安”6大核心能力</w:t>
      </w:r>
      <w:r>
        <w:rPr>
          <w:rFonts w:hint="eastAsia" w:ascii="仿宋_GB2312" w:hAnsi="仿宋_GB2312" w:cs="仿宋_GB2312"/>
          <w:b w:val="0"/>
          <w:bCs w:val="0"/>
          <w:spacing w:val="10"/>
          <w:szCs w:val="32"/>
          <w:lang w:val="en-US" w:eastAsia="zh-CN"/>
        </w:rPr>
        <w:t>，助力砀山县人民政府推动数字产业化发展，加快5G、物联网、云计算、大数据等新技术在经济社会各领域的试点应用，助力提升产业数字化水平，构建数字社会，创新打造全国标杆示范项目落地。</w:t>
      </w:r>
    </w:p>
    <w:p>
      <w:pPr>
        <w:spacing w:line="600" w:lineRule="exact"/>
        <w:ind w:firstLine="636"/>
        <w:rPr>
          <w:rFonts w:hint="eastAsia" w:ascii="仿宋_GB2312" w:hAnsi="仿宋_GB2312" w:eastAsia="仿宋_GB2312" w:cs="仿宋_GB2312"/>
          <w:b/>
          <w:bCs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、合作机制</w:t>
      </w:r>
    </w:p>
    <w:p>
      <w:pPr>
        <w:spacing w:line="600" w:lineRule="exact"/>
        <w:ind w:firstLine="680" w:firstLineChars="200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1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建立会晤机制。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双方建立不定期会晤工作制度。研究解决合作中的重大困难和问题，及时协调推进具体合作事宜的落实。</w:t>
      </w:r>
    </w:p>
    <w:p>
      <w:pPr>
        <w:spacing w:line="600" w:lineRule="exact"/>
        <w:ind w:firstLine="680" w:firstLineChars="200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" w:hAnsi="楷体" w:eastAsia="楷体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建立长效沟通机制。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双方在合作过程中，积极开展合作领域内的沟通交流，共同探索数字化发展思路和解决方案，及时对接数字化领域内的最新科研成果及合作进展情况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持续做好数字赋能工作。建立由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经济和信息化局、发展改革委、数据资源局、中国联通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宿州市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分公司等单位参加的会商机制，负责落实合作事宜和日常沟通联系。</w:t>
      </w:r>
    </w:p>
    <w:p>
      <w:pPr>
        <w:spacing w:line="600" w:lineRule="exact"/>
        <w:ind w:firstLine="680" w:firstLineChars="200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楷体" w:hAnsi="楷体" w:eastAsia="楷体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建立联动支持机制。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双方加强政策、平台、生态等资源对接，共同探索与行业头部企业、科研院所等开展联合创新，加强在科技创新、人才培养、产业链完善等方面的合作。</w:t>
      </w:r>
    </w:p>
    <w:p>
      <w:pPr>
        <w:spacing w:line="600" w:lineRule="exact"/>
        <w:ind w:firstLine="636"/>
        <w:rPr>
          <w:rFonts w:hint="eastAsia" w:ascii="仿宋_GB2312" w:hAnsi="仿宋_GB2312" w:cs="仿宋_GB2312"/>
          <w:b/>
          <w:bCs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五、附则</w:t>
      </w:r>
    </w:p>
    <w:p>
      <w:pPr>
        <w:spacing w:line="600" w:lineRule="exact"/>
        <w:ind w:firstLine="680" w:firstLineChars="200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一）本协议是双方“十四五”期间合作的指导性文件及签订相关合同的基础。</w:t>
      </w:r>
    </w:p>
    <w:p>
      <w:pPr>
        <w:spacing w:line="600" w:lineRule="exact"/>
        <w:ind w:firstLine="680" w:firstLineChars="200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（二）对在合作过程中形成的相关资料及与合作伙伴有关联的商业秘密，双方承诺保密。</w:t>
      </w:r>
    </w:p>
    <w:p>
      <w:pPr>
        <w:widowControl/>
        <w:spacing w:line="560" w:lineRule="exact"/>
        <w:ind w:firstLine="680" w:firstLineChars="200"/>
        <w:contextualSpacing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（三）本协议为双方意向性约定，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具体合作事宜经双方共同协商，由适格主体另行签订合作协议</w:t>
      </w:r>
      <w:r>
        <w:rPr>
          <w:rFonts w:hint="eastAsia" w:ascii="仿宋" w:hAnsi="仿宋" w:eastAsia="仿宋" w:cs="仿宋_GB2312"/>
          <w:sz w:val="32"/>
          <w:szCs w:val="32"/>
          <w:u w:val="none"/>
        </w:rPr>
        <w:t>，并以该相关合作协议为准。根据本协议开展具体项目合作时，若有关合作项目属于《中华人民共和国政府采购法》</w:t>
      </w:r>
      <w:r>
        <w:rPr>
          <w:rFonts w:hint="eastAsia" w:ascii="仿宋" w:hAnsi="仿宋" w:eastAsia="仿宋" w:cs="仿宋_GB2312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  <w:highlight w:val="none"/>
          <w:u w:val="none"/>
          <w:lang w:val="en-US" w:eastAsia="zh-CN"/>
        </w:rPr>
        <w:t>中华人民共和国招标投标法》</w:t>
      </w:r>
      <w:r>
        <w:rPr>
          <w:rFonts w:hint="eastAsia" w:ascii="仿宋" w:hAnsi="仿宋" w:eastAsia="仿宋" w:cs="仿宋_GB2312"/>
          <w:sz w:val="32"/>
          <w:szCs w:val="32"/>
          <w:u w:val="none"/>
        </w:rPr>
        <w:t>等法律法规规定，应当履行政府采购、招标投标程序的，依法办理。</w:t>
      </w:r>
      <w:r>
        <w:rPr>
          <w:rFonts w:hint="eastAsia" w:ascii="仿宋_GB2312" w:eastAsia="仿宋_GB2312"/>
          <w:sz w:val="32"/>
          <w:szCs w:val="32"/>
          <w:u w:val="none"/>
        </w:rPr>
        <w:t>如本协议同甲方与其他主体已签订的相关协议有冲突，以已签订的协议为准。</w:t>
      </w:r>
    </w:p>
    <w:p>
      <w:pPr>
        <w:spacing w:line="600" w:lineRule="exact"/>
        <w:ind w:firstLine="680" w:firstLineChars="200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（四）协议一式陆份，双方各执叁份，自双方法定代表人或授权代表签字并加盖公章之日起生效，有效期五年。本协议期满后，双方另行协商是否续签本协议。</w:t>
      </w:r>
    </w:p>
    <w:p>
      <w:pPr>
        <w:pStyle w:val="2"/>
      </w:pPr>
    </w:p>
    <w:p>
      <w:pPr>
        <w:snapToGrid w:val="0"/>
        <w:spacing w:line="576" w:lineRule="exact"/>
        <w:rPr>
          <w:color w:val="000000" w:themeColor="text1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:lang w:val="en-GB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以下</w:t>
      </w:r>
      <w:r>
        <w:rPr>
          <w:color w:val="000000" w:themeColor="text1"/>
          <w:szCs w:val="32"/>
          <w:lang w:val="en-GB"/>
          <w14:textFill>
            <w14:solidFill>
              <w14:schemeClr w14:val="tx1"/>
            </w14:solidFill>
          </w14:textFill>
        </w:rPr>
        <w:t>无正文）</w:t>
      </w:r>
    </w:p>
    <w:p>
      <w:pPr>
        <w:spacing w:line="576" w:lineRule="exact"/>
        <w:rPr>
          <w:color w:val="000000" w:themeColor="text1"/>
          <w:spacing w:val="1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rPr>
          <w:color w:val="000000" w:themeColor="text1"/>
          <w:spacing w:val="10"/>
          <w:sz w:val="36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ind w:left="5896" w:leftChars="-1" w:hanging="5899" w:hangingChars="1735"/>
        <w:jc w:val="left"/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</w:t>
      </w: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 xml:space="preserve">人民政府      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中国联合网络通信有限公</w:t>
      </w: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司 </w:t>
      </w:r>
    </w:p>
    <w:p>
      <w:pPr>
        <w:spacing w:line="576" w:lineRule="exact"/>
        <w:ind w:firstLine="5780" w:firstLineChars="1700"/>
        <w:jc w:val="left"/>
        <w:rPr>
          <w:rFonts w:hint="eastAsia" w:eastAsia="仿宋_GB2312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szCs w:val="32"/>
          <w:lang w:val="en-US" w:eastAsia="zh-CN"/>
          <w14:textFill>
            <w14:solidFill>
              <w14:schemeClr w14:val="tx1"/>
            </w14:solidFill>
          </w14:textFill>
        </w:rPr>
        <w:t>宿州市</w:t>
      </w:r>
      <w:r>
        <w:rPr>
          <w:rFonts w:hint="eastAsia"/>
          <w:color w:val="000000" w:themeColor="text1"/>
          <w:spacing w:val="10"/>
          <w:szCs w:val="32"/>
          <w:lang w:eastAsia="zh-CN"/>
          <w14:textFill>
            <w14:solidFill>
              <w14:schemeClr w14:val="tx1"/>
            </w14:solidFill>
          </w14:textFill>
        </w:rPr>
        <w:t>分公司</w:t>
      </w:r>
    </w:p>
    <w:p>
      <w:pPr>
        <w:spacing w:line="576" w:lineRule="exact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法定或授权代表人：         法定或授权代表人：</w:t>
      </w:r>
    </w:p>
    <w:p>
      <w:pPr>
        <w:spacing w:line="576" w:lineRule="exact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  <w:t>签约时间：  年  月  日     签约时间：   年   月   日</w:t>
      </w:r>
    </w:p>
    <w:p>
      <w:pPr>
        <w:pStyle w:val="2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pacing w:val="10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5" w:type="default"/>
      <w:footerReference r:id="rId6" w:type="even"/>
      <w:pgSz w:w="11907" w:h="16840"/>
      <w:pgMar w:top="1701" w:right="1474" w:bottom="1134" w:left="1588" w:header="851" w:footer="992" w:gutter="0"/>
      <w:pgNumType w:fmt="numberInDash" w:start="1"/>
      <w:cols w:space="720" w:num="1"/>
      <w:docGrid w:linePitch="5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6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68" w:firstLineChars="100"/>
      <w:rPr>
        <w:rStyle w:val="10"/>
        <w:sz w:val="28"/>
        <w:szCs w:val="28"/>
      </w:rPr>
    </w:pPr>
    <w:r>
      <w:rPr>
        <w:rStyle w:val="10"/>
        <w:rFonts w:hint="eastAsia" w:cs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- 2 -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</w:t>
    </w:r>
    <w:r>
      <w:rPr>
        <w:rStyle w:val="10"/>
        <w:rFonts w:hint="eastAsia" w:cs="宋体"/>
        <w:sz w:val="28"/>
        <w:szCs w:val="28"/>
      </w:rPr>
      <w:t>—</w:t>
    </w:r>
  </w:p>
  <w:p>
    <w:pPr>
      <w:pStyle w:val="4"/>
      <w:ind w:right="360" w:firstLine="6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9928DD"/>
    <w:multiLevelType w:val="singleLevel"/>
    <w:tmpl w:val="C29928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BF3A46"/>
    <w:multiLevelType w:val="singleLevel"/>
    <w:tmpl w:val="F3BF3A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jdlZGJhZjI5ODM4OTNiOWY0NDhlMzk2MDQwMGUifQ=="/>
  </w:docVars>
  <w:rsids>
    <w:rsidRoot w:val="00745A12"/>
    <w:rsid w:val="00006304"/>
    <w:rsid w:val="000145DF"/>
    <w:rsid w:val="000327A0"/>
    <w:rsid w:val="0005385E"/>
    <w:rsid w:val="0006020C"/>
    <w:rsid w:val="000628A3"/>
    <w:rsid w:val="00086EBA"/>
    <w:rsid w:val="00090649"/>
    <w:rsid w:val="000B48EF"/>
    <w:rsid w:val="000C0FAD"/>
    <w:rsid w:val="000D1BD6"/>
    <w:rsid w:val="00103CEA"/>
    <w:rsid w:val="00117DB2"/>
    <w:rsid w:val="00131C3E"/>
    <w:rsid w:val="00180C3A"/>
    <w:rsid w:val="001A4857"/>
    <w:rsid w:val="001B22B4"/>
    <w:rsid w:val="001C411C"/>
    <w:rsid w:val="001D16FC"/>
    <w:rsid w:val="001D6781"/>
    <w:rsid w:val="001E1C51"/>
    <w:rsid w:val="002023B3"/>
    <w:rsid w:val="00204D4D"/>
    <w:rsid w:val="002121F6"/>
    <w:rsid w:val="0021662A"/>
    <w:rsid w:val="00232932"/>
    <w:rsid w:val="00271908"/>
    <w:rsid w:val="00276DFF"/>
    <w:rsid w:val="00283693"/>
    <w:rsid w:val="00294DF6"/>
    <w:rsid w:val="00295184"/>
    <w:rsid w:val="00295B3F"/>
    <w:rsid w:val="002A55D2"/>
    <w:rsid w:val="002A5EF5"/>
    <w:rsid w:val="002A64B9"/>
    <w:rsid w:val="002C4E19"/>
    <w:rsid w:val="002E42D0"/>
    <w:rsid w:val="00322E15"/>
    <w:rsid w:val="003819B0"/>
    <w:rsid w:val="0038376B"/>
    <w:rsid w:val="003A149A"/>
    <w:rsid w:val="003A1AB5"/>
    <w:rsid w:val="003A4F6D"/>
    <w:rsid w:val="003A725C"/>
    <w:rsid w:val="003B36FE"/>
    <w:rsid w:val="003D5FE8"/>
    <w:rsid w:val="003F365C"/>
    <w:rsid w:val="004125F2"/>
    <w:rsid w:val="00436E43"/>
    <w:rsid w:val="00440F9E"/>
    <w:rsid w:val="004448AE"/>
    <w:rsid w:val="0044605C"/>
    <w:rsid w:val="0045172B"/>
    <w:rsid w:val="004A41BA"/>
    <w:rsid w:val="004A7F75"/>
    <w:rsid w:val="004B4E7A"/>
    <w:rsid w:val="004C5723"/>
    <w:rsid w:val="004C6632"/>
    <w:rsid w:val="004E4277"/>
    <w:rsid w:val="004F095D"/>
    <w:rsid w:val="00502FE3"/>
    <w:rsid w:val="00503803"/>
    <w:rsid w:val="0051156B"/>
    <w:rsid w:val="00540E89"/>
    <w:rsid w:val="0055755B"/>
    <w:rsid w:val="005757F3"/>
    <w:rsid w:val="00593CC9"/>
    <w:rsid w:val="00595758"/>
    <w:rsid w:val="00595A05"/>
    <w:rsid w:val="005A1384"/>
    <w:rsid w:val="005B3ED3"/>
    <w:rsid w:val="005B7B03"/>
    <w:rsid w:val="005C4DBE"/>
    <w:rsid w:val="005E7C0F"/>
    <w:rsid w:val="00603916"/>
    <w:rsid w:val="006129D6"/>
    <w:rsid w:val="00643948"/>
    <w:rsid w:val="006A3F2A"/>
    <w:rsid w:val="006C0720"/>
    <w:rsid w:val="006C7374"/>
    <w:rsid w:val="006E47EE"/>
    <w:rsid w:val="006F6C32"/>
    <w:rsid w:val="00703C84"/>
    <w:rsid w:val="00723177"/>
    <w:rsid w:val="0072776E"/>
    <w:rsid w:val="00745A12"/>
    <w:rsid w:val="007513C6"/>
    <w:rsid w:val="007647D0"/>
    <w:rsid w:val="007761AC"/>
    <w:rsid w:val="00790E23"/>
    <w:rsid w:val="007A4C37"/>
    <w:rsid w:val="007B22E3"/>
    <w:rsid w:val="007B2848"/>
    <w:rsid w:val="007E0E7A"/>
    <w:rsid w:val="008035DA"/>
    <w:rsid w:val="008152FB"/>
    <w:rsid w:val="008267E3"/>
    <w:rsid w:val="0083731C"/>
    <w:rsid w:val="00847237"/>
    <w:rsid w:val="00873707"/>
    <w:rsid w:val="00877390"/>
    <w:rsid w:val="00880EA2"/>
    <w:rsid w:val="008C7F4F"/>
    <w:rsid w:val="008D0C55"/>
    <w:rsid w:val="008E12FC"/>
    <w:rsid w:val="00905CDC"/>
    <w:rsid w:val="00907366"/>
    <w:rsid w:val="00926F8C"/>
    <w:rsid w:val="00942463"/>
    <w:rsid w:val="0094571B"/>
    <w:rsid w:val="00962E53"/>
    <w:rsid w:val="0096545B"/>
    <w:rsid w:val="00987F21"/>
    <w:rsid w:val="00997A19"/>
    <w:rsid w:val="009A718F"/>
    <w:rsid w:val="009B249E"/>
    <w:rsid w:val="009B6550"/>
    <w:rsid w:val="009D3E1B"/>
    <w:rsid w:val="009F1ADB"/>
    <w:rsid w:val="009F2D8F"/>
    <w:rsid w:val="00A260EE"/>
    <w:rsid w:val="00A272DD"/>
    <w:rsid w:val="00A2757C"/>
    <w:rsid w:val="00A53131"/>
    <w:rsid w:val="00AA1A87"/>
    <w:rsid w:val="00AA2B61"/>
    <w:rsid w:val="00AA4DC0"/>
    <w:rsid w:val="00AB4D43"/>
    <w:rsid w:val="00AB5893"/>
    <w:rsid w:val="00AB7C2F"/>
    <w:rsid w:val="00AC189F"/>
    <w:rsid w:val="00AE1C7A"/>
    <w:rsid w:val="00B159AD"/>
    <w:rsid w:val="00B30295"/>
    <w:rsid w:val="00B320FE"/>
    <w:rsid w:val="00B40CDC"/>
    <w:rsid w:val="00B56D26"/>
    <w:rsid w:val="00B66321"/>
    <w:rsid w:val="00B74B9B"/>
    <w:rsid w:val="00B77E1B"/>
    <w:rsid w:val="00B84AE2"/>
    <w:rsid w:val="00B926D3"/>
    <w:rsid w:val="00B92E5A"/>
    <w:rsid w:val="00B971CD"/>
    <w:rsid w:val="00BA2800"/>
    <w:rsid w:val="00BB7133"/>
    <w:rsid w:val="00BE0BF3"/>
    <w:rsid w:val="00BE2D6F"/>
    <w:rsid w:val="00BF37AA"/>
    <w:rsid w:val="00C028FA"/>
    <w:rsid w:val="00C042B4"/>
    <w:rsid w:val="00C15ADE"/>
    <w:rsid w:val="00C32264"/>
    <w:rsid w:val="00C3624B"/>
    <w:rsid w:val="00C54D5F"/>
    <w:rsid w:val="00C66273"/>
    <w:rsid w:val="00C8493A"/>
    <w:rsid w:val="00CC3BD2"/>
    <w:rsid w:val="00CD4304"/>
    <w:rsid w:val="00CD7C42"/>
    <w:rsid w:val="00D01F6B"/>
    <w:rsid w:val="00D06FF6"/>
    <w:rsid w:val="00D13EB8"/>
    <w:rsid w:val="00D23196"/>
    <w:rsid w:val="00D457FF"/>
    <w:rsid w:val="00D47673"/>
    <w:rsid w:val="00D47BA8"/>
    <w:rsid w:val="00D47D32"/>
    <w:rsid w:val="00D54B1B"/>
    <w:rsid w:val="00D64965"/>
    <w:rsid w:val="00D70EDA"/>
    <w:rsid w:val="00D81663"/>
    <w:rsid w:val="00D8584F"/>
    <w:rsid w:val="00D87E14"/>
    <w:rsid w:val="00D928B0"/>
    <w:rsid w:val="00DA0784"/>
    <w:rsid w:val="00DA6AC7"/>
    <w:rsid w:val="00DE0507"/>
    <w:rsid w:val="00DE5EB3"/>
    <w:rsid w:val="00DF215E"/>
    <w:rsid w:val="00E20800"/>
    <w:rsid w:val="00E22FD8"/>
    <w:rsid w:val="00E24340"/>
    <w:rsid w:val="00E60BD6"/>
    <w:rsid w:val="00E70578"/>
    <w:rsid w:val="00E92EA9"/>
    <w:rsid w:val="00EA0F34"/>
    <w:rsid w:val="00EB19B7"/>
    <w:rsid w:val="00EB3712"/>
    <w:rsid w:val="00ED2053"/>
    <w:rsid w:val="00ED7C79"/>
    <w:rsid w:val="00EE776F"/>
    <w:rsid w:val="00F024D0"/>
    <w:rsid w:val="00F16A4F"/>
    <w:rsid w:val="00F36C29"/>
    <w:rsid w:val="00F45FCF"/>
    <w:rsid w:val="00F50124"/>
    <w:rsid w:val="00F62DD5"/>
    <w:rsid w:val="00F763DE"/>
    <w:rsid w:val="00F94766"/>
    <w:rsid w:val="00FA282C"/>
    <w:rsid w:val="00FB508C"/>
    <w:rsid w:val="00FD3C9B"/>
    <w:rsid w:val="00FD7880"/>
    <w:rsid w:val="019D19DC"/>
    <w:rsid w:val="020C35FB"/>
    <w:rsid w:val="022E4A97"/>
    <w:rsid w:val="02522DDA"/>
    <w:rsid w:val="02A47361"/>
    <w:rsid w:val="03816D4F"/>
    <w:rsid w:val="038866DA"/>
    <w:rsid w:val="041736D9"/>
    <w:rsid w:val="046250D8"/>
    <w:rsid w:val="04C26E58"/>
    <w:rsid w:val="05161364"/>
    <w:rsid w:val="058569ED"/>
    <w:rsid w:val="06840930"/>
    <w:rsid w:val="06F408F5"/>
    <w:rsid w:val="06F81F21"/>
    <w:rsid w:val="07B329F6"/>
    <w:rsid w:val="08F35E3C"/>
    <w:rsid w:val="0938399E"/>
    <w:rsid w:val="0BAD5C7E"/>
    <w:rsid w:val="0C3F4BE5"/>
    <w:rsid w:val="0CBD298F"/>
    <w:rsid w:val="0D9C27E1"/>
    <w:rsid w:val="0DF85510"/>
    <w:rsid w:val="0EC61A14"/>
    <w:rsid w:val="0EE75AB2"/>
    <w:rsid w:val="0EF600FC"/>
    <w:rsid w:val="0EF75B1D"/>
    <w:rsid w:val="0F882D9D"/>
    <w:rsid w:val="104A76C8"/>
    <w:rsid w:val="105C75E2"/>
    <w:rsid w:val="105D45B9"/>
    <w:rsid w:val="119F5ED8"/>
    <w:rsid w:val="11C833BC"/>
    <w:rsid w:val="11CF0DC2"/>
    <w:rsid w:val="11F0547A"/>
    <w:rsid w:val="123235A1"/>
    <w:rsid w:val="124D44D7"/>
    <w:rsid w:val="14D72CBF"/>
    <w:rsid w:val="154E1C7D"/>
    <w:rsid w:val="15600A48"/>
    <w:rsid w:val="15764F1B"/>
    <w:rsid w:val="162D1C45"/>
    <w:rsid w:val="16AA4D52"/>
    <w:rsid w:val="17787D90"/>
    <w:rsid w:val="184C3483"/>
    <w:rsid w:val="19434A2E"/>
    <w:rsid w:val="19BF5BF6"/>
    <w:rsid w:val="19DA14D8"/>
    <w:rsid w:val="1AE400D4"/>
    <w:rsid w:val="1AF50D52"/>
    <w:rsid w:val="1AF9081D"/>
    <w:rsid w:val="1B5238E3"/>
    <w:rsid w:val="1C1540C8"/>
    <w:rsid w:val="1C1C4F1A"/>
    <w:rsid w:val="1C3D55BC"/>
    <w:rsid w:val="1C4E76C1"/>
    <w:rsid w:val="1C7F3050"/>
    <w:rsid w:val="1CD31EB5"/>
    <w:rsid w:val="1CF85649"/>
    <w:rsid w:val="1D13631D"/>
    <w:rsid w:val="1DD670A3"/>
    <w:rsid w:val="1E7C5399"/>
    <w:rsid w:val="1EAE28BB"/>
    <w:rsid w:val="1EDB2EB0"/>
    <w:rsid w:val="1EDC7626"/>
    <w:rsid w:val="215124BF"/>
    <w:rsid w:val="21A126C0"/>
    <w:rsid w:val="22315125"/>
    <w:rsid w:val="226C09A9"/>
    <w:rsid w:val="22DD68C3"/>
    <w:rsid w:val="23264FFC"/>
    <w:rsid w:val="238D4A9E"/>
    <w:rsid w:val="23CA5020"/>
    <w:rsid w:val="24DC08F3"/>
    <w:rsid w:val="26726BCE"/>
    <w:rsid w:val="26D0702D"/>
    <w:rsid w:val="278E36E3"/>
    <w:rsid w:val="27AD215B"/>
    <w:rsid w:val="28122904"/>
    <w:rsid w:val="28510EB3"/>
    <w:rsid w:val="2990183F"/>
    <w:rsid w:val="29A1154A"/>
    <w:rsid w:val="29A44AC6"/>
    <w:rsid w:val="2B5A27BB"/>
    <w:rsid w:val="2C6F63F4"/>
    <w:rsid w:val="2C8F6BC5"/>
    <w:rsid w:val="2C987417"/>
    <w:rsid w:val="2D2F578B"/>
    <w:rsid w:val="2D381CF1"/>
    <w:rsid w:val="2DCC2611"/>
    <w:rsid w:val="2FFF534B"/>
    <w:rsid w:val="3019195A"/>
    <w:rsid w:val="30834F33"/>
    <w:rsid w:val="30E04F3E"/>
    <w:rsid w:val="31DB13D9"/>
    <w:rsid w:val="321D2D9C"/>
    <w:rsid w:val="324D6CC2"/>
    <w:rsid w:val="33C2277F"/>
    <w:rsid w:val="34211293"/>
    <w:rsid w:val="36804696"/>
    <w:rsid w:val="36BC7B6E"/>
    <w:rsid w:val="372E6CA5"/>
    <w:rsid w:val="378D527B"/>
    <w:rsid w:val="3951306C"/>
    <w:rsid w:val="3A104B3D"/>
    <w:rsid w:val="3A10629E"/>
    <w:rsid w:val="3A636A1E"/>
    <w:rsid w:val="3A8723CC"/>
    <w:rsid w:val="3BBF014E"/>
    <w:rsid w:val="3DC91753"/>
    <w:rsid w:val="3EB7AEC4"/>
    <w:rsid w:val="3EF94620"/>
    <w:rsid w:val="3F165BAA"/>
    <w:rsid w:val="3FAB5393"/>
    <w:rsid w:val="400658D9"/>
    <w:rsid w:val="413F5A9B"/>
    <w:rsid w:val="41CEFEE9"/>
    <w:rsid w:val="420C2FE8"/>
    <w:rsid w:val="427C2A11"/>
    <w:rsid w:val="4301163F"/>
    <w:rsid w:val="43443967"/>
    <w:rsid w:val="44E027FD"/>
    <w:rsid w:val="45DC5978"/>
    <w:rsid w:val="45F77724"/>
    <w:rsid w:val="46A217DD"/>
    <w:rsid w:val="47AA594C"/>
    <w:rsid w:val="47B17C2A"/>
    <w:rsid w:val="47F53483"/>
    <w:rsid w:val="48087ABB"/>
    <w:rsid w:val="487D2CA7"/>
    <w:rsid w:val="48911767"/>
    <w:rsid w:val="489A589B"/>
    <w:rsid w:val="48C13AD5"/>
    <w:rsid w:val="490F15C1"/>
    <w:rsid w:val="49660B4B"/>
    <w:rsid w:val="49775DA5"/>
    <w:rsid w:val="4A013479"/>
    <w:rsid w:val="4ACC407A"/>
    <w:rsid w:val="4B501E23"/>
    <w:rsid w:val="4CCA390C"/>
    <w:rsid w:val="4CFF32DB"/>
    <w:rsid w:val="4F257E7F"/>
    <w:rsid w:val="4FE74977"/>
    <w:rsid w:val="50F72361"/>
    <w:rsid w:val="512435DE"/>
    <w:rsid w:val="51894C1E"/>
    <w:rsid w:val="51D97F9A"/>
    <w:rsid w:val="53417BA1"/>
    <w:rsid w:val="53E91DD9"/>
    <w:rsid w:val="540867EC"/>
    <w:rsid w:val="5454111A"/>
    <w:rsid w:val="54A3340E"/>
    <w:rsid w:val="54A61B6E"/>
    <w:rsid w:val="55670123"/>
    <w:rsid w:val="55BA3C34"/>
    <w:rsid w:val="560A61E9"/>
    <w:rsid w:val="561D486B"/>
    <w:rsid w:val="56DC0D1A"/>
    <w:rsid w:val="5740014E"/>
    <w:rsid w:val="58C55816"/>
    <w:rsid w:val="58CE0223"/>
    <w:rsid w:val="5A6E0969"/>
    <w:rsid w:val="5DF16B39"/>
    <w:rsid w:val="5EBF6480"/>
    <w:rsid w:val="5F053371"/>
    <w:rsid w:val="5F81073D"/>
    <w:rsid w:val="60F75170"/>
    <w:rsid w:val="610F0966"/>
    <w:rsid w:val="61A43103"/>
    <w:rsid w:val="62735116"/>
    <w:rsid w:val="631D3129"/>
    <w:rsid w:val="636E7FEE"/>
    <w:rsid w:val="63F064BD"/>
    <w:rsid w:val="6571092A"/>
    <w:rsid w:val="66210060"/>
    <w:rsid w:val="669572BE"/>
    <w:rsid w:val="66A73294"/>
    <w:rsid w:val="67813FF9"/>
    <w:rsid w:val="68054AF6"/>
    <w:rsid w:val="68305F94"/>
    <w:rsid w:val="68ED0646"/>
    <w:rsid w:val="69C951AD"/>
    <w:rsid w:val="69E82BD0"/>
    <w:rsid w:val="6A2879BD"/>
    <w:rsid w:val="6A5B4FE9"/>
    <w:rsid w:val="6AD97F5A"/>
    <w:rsid w:val="6B554422"/>
    <w:rsid w:val="6C726189"/>
    <w:rsid w:val="6CD707DC"/>
    <w:rsid w:val="6EFF1269"/>
    <w:rsid w:val="6F6BBB2B"/>
    <w:rsid w:val="6FA02431"/>
    <w:rsid w:val="709D6884"/>
    <w:rsid w:val="71922E29"/>
    <w:rsid w:val="71C37D3F"/>
    <w:rsid w:val="71D92FD5"/>
    <w:rsid w:val="71F009FC"/>
    <w:rsid w:val="71FE2718"/>
    <w:rsid w:val="7209445A"/>
    <w:rsid w:val="72331E0C"/>
    <w:rsid w:val="72850EF0"/>
    <w:rsid w:val="72E78170"/>
    <w:rsid w:val="736FF72F"/>
    <w:rsid w:val="7395553D"/>
    <w:rsid w:val="73A41347"/>
    <w:rsid w:val="73E67832"/>
    <w:rsid w:val="755F5573"/>
    <w:rsid w:val="7739683D"/>
    <w:rsid w:val="776F7AA9"/>
    <w:rsid w:val="77CB7D47"/>
    <w:rsid w:val="790C7B25"/>
    <w:rsid w:val="79B576B5"/>
    <w:rsid w:val="7A3DC95D"/>
    <w:rsid w:val="7A46599A"/>
    <w:rsid w:val="7B540605"/>
    <w:rsid w:val="7B9C5814"/>
    <w:rsid w:val="7C267AE7"/>
    <w:rsid w:val="7C8D5568"/>
    <w:rsid w:val="7C9B6C60"/>
    <w:rsid w:val="7CBF4530"/>
    <w:rsid w:val="7CCC256A"/>
    <w:rsid w:val="7D97AB71"/>
    <w:rsid w:val="7DA16451"/>
    <w:rsid w:val="7DDE612A"/>
    <w:rsid w:val="7EA43D0D"/>
    <w:rsid w:val="7EA8461F"/>
    <w:rsid w:val="7F2B4B2B"/>
    <w:rsid w:val="7F529455"/>
    <w:rsid w:val="7F691199"/>
    <w:rsid w:val="9FFE3981"/>
    <w:rsid w:val="B16B5C2E"/>
    <w:rsid w:val="C7D7AF7B"/>
    <w:rsid w:val="DFBFEE5F"/>
    <w:rsid w:val="DFF3813D"/>
    <w:rsid w:val="DFFBD6C1"/>
    <w:rsid w:val="FFE7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 w:cs="Arial"/>
    </w:rPr>
  </w:style>
  <w:style w:type="paragraph" w:styleId="3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8"/>
    <w:qFormat/>
    <w:uiPriority w:val="20"/>
  </w:style>
  <w:style w:type="character" w:styleId="13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7">
    <w:name w:val="hover4"/>
    <w:basedOn w:val="8"/>
    <w:qFormat/>
    <w:uiPriority w:val="0"/>
    <w:rPr>
      <w:color w:val="315EFB"/>
    </w:rPr>
  </w:style>
  <w:style w:type="character" w:customStyle="1" w:styleId="18">
    <w:name w:val="index-module_accountauthentication_3bwix"/>
    <w:basedOn w:val="8"/>
    <w:qFormat/>
    <w:uiPriority w:val="0"/>
  </w:style>
  <w:style w:type="character" w:customStyle="1" w:styleId="19">
    <w:name w:val="fontstyle01"/>
    <w:basedOn w:val="8"/>
    <w:qFormat/>
    <w:uiPriority w:val="0"/>
    <w:rPr>
      <w:rFonts w:ascii="MicrosoftYaHei" w:hAnsi="MicrosoftYaHei" w:eastAsia="MicrosoftYaHei" w:cs="MicrosoftYaHei"/>
      <w:color w:val="000000"/>
      <w:sz w:val="38"/>
      <w:szCs w:val="38"/>
    </w:rPr>
  </w:style>
  <w:style w:type="character" w:customStyle="1" w:styleId="20">
    <w:name w:val="fontstyle11"/>
    <w:basedOn w:val="8"/>
    <w:qFormat/>
    <w:uiPriority w:val="0"/>
    <w:rPr>
      <w:rFonts w:ascii="MicrosoftYaHei-Bold" w:hAnsi="MicrosoftYaHei-Bold" w:eastAsia="MicrosoftYaHei-Bold" w:cs="MicrosoftYaHei-Bold"/>
      <w:b/>
      <w:bCs/>
      <w:color w:val="C00000"/>
      <w:sz w:val="38"/>
      <w:szCs w:val="38"/>
    </w:rPr>
  </w:style>
  <w:style w:type="character" w:customStyle="1" w:styleId="21">
    <w:name w:val="15"/>
    <w:basedOn w:val="8"/>
    <w:qFormat/>
    <w:uiPriority w:val="0"/>
    <w:rPr>
      <w:rFonts w:hint="default" w:ascii="Calibri" w:hAnsi="Calibri" w:cs="Times New Roman"/>
    </w:rPr>
  </w:style>
  <w:style w:type="character" w:customStyle="1" w:styleId="22">
    <w:name w:val="10"/>
    <w:basedOn w:val="8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4259</Words>
  <Characters>4308</Characters>
  <Lines>1</Lines>
  <Paragraphs>1</Paragraphs>
  <TotalTime>27</TotalTime>
  <ScaleCrop>false</ScaleCrop>
  <LinksUpToDate>false</LinksUpToDate>
  <CharactersWithSpaces>4355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2022-08-15T01:12:00Z</dcterms:created>
  <dc:creator>lenovo</dc:creator>
  <cp:lastModifiedBy>WPS_1557277033</cp:lastModifiedBy>
  <cp:lastPrinted>2023-04-16T22:48:00Z</cp:lastPrinted>
  <dcterms:modified xsi:type="dcterms:W3CDTF">2023-08-08T07:29:29Z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B98485459C8E4D3981D7FD59FD9E723F</vt:lpwstr>
  </property>
</Properties>
</file>