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sz w:val="44"/>
          <w:szCs w:val="52"/>
          <w:lang w:val="en-US" w:eastAsia="zh-CN"/>
        </w:rPr>
      </w:pPr>
      <w:r>
        <w:rPr>
          <w:rFonts w:hint="eastAsia" w:ascii="方正小标宋_GBK" w:hAnsi="方正小标宋_GBK" w:eastAsia="方正小标宋_GBK" w:cs="方正小标宋_GBK"/>
          <w:sz w:val="44"/>
          <w:szCs w:val="52"/>
          <w:lang w:val="en-US" w:eastAsia="zh-CN"/>
        </w:rPr>
        <w:t>砀山县</w:t>
      </w:r>
      <w:r>
        <w:rPr>
          <w:rFonts w:hint="eastAsia" w:ascii="方正小标宋_GBK" w:hAnsi="方正小标宋_GBK" w:eastAsia="方正小标宋_GBK" w:cs="方正小标宋_GBK"/>
          <w:sz w:val="44"/>
          <w:szCs w:val="52"/>
        </w:rPr>
        <w:t>水利领域基层政务公开事项</w:t>
      </w:r>
      <w:r>
        <w:rPr>
          <w:rFonts w:hint="eastAsia" w:ascii="方正小标宋_GBK" w:hAnsi="方正小标宋_GBK" w:eastAsia="方正小标宋_GBK" w:cs="方正小标宋_GBK"/>
          <w:sz w:val="44"/>
          <w:szCs w:val="52"/>
          <w:lang w:val="en-US" w:eastAsia="zh-CN"/>
        </w:rPr>
        <w:t>标准目录</w:t>
      </w:r>
    </w:p>
    <w:tbl>
      <w:tblPr>
        <w:tblStyle w:val="4"/>
        <w:tblW w:w="15665" w:type="dxa"/>
        <w:jc w:val="center"/>
        <w:tblLayout w:type="fixed"/>
        <w:tblCellMar>
          <w:top w:w="0" w:type="dxa"/>
          <w:left w:w="108" w:type="dxa"/>
          <w:bottom w:w="0" w:type="dxa"/>
          <w:right w:w="108" w:type="dxa"/>
        </w:tblCellMar>
      </w:tblPr>
      <w:tblGrid>
        <w:gridCol w:w="466"/>
        <w:gridCol w:w="1078"/>
        <w:gridCol w:w="1050"/>
        <w:gridCol w:w="1108"/>
        <w:gridCol w:w="2042"/>
        <w:gridCol w:w="1985"/>
        <w:gridCol w:w="1246"/>
        <w:gridCol w:w="1027"/>
        <w:gridCol w:w="2781"/>
        <w:gridCol w:w="450"/>
        <w:gridCol w:w="415"/>
        <w:gridCol w:w="397"/>
        <w:gridCol w:w="450"/>
        <w:gridCol w:w="411"/>
        <w:gridCol w:w="399"/>
        <w:gridCol w:w="360"/>
      </w:tblGrid>
      <w:tr>
        <w:tblPrEx>
          <w:tblCellMar>
            <w:top w:w="0" w:type="dxa"/>
            <w:left w:w="108" w:type="dxa"/>
            <w:bottom w:w="0" w:type="dxa"/>
            <w:right w:w="108" w:type="dxa"/>
          </w:tblCellMar>
        </w:tblPrEx>
        <w:trPr>
          <w:trHeight w:val="561" w:hRule="atLeast"/>
          <w:tblHeader/>
          <w:jc w:val="center"/>
        </w:trPr>
        <w:tc>
          <w:tcPr>
            <w:tcW w:w="4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b/>
                <w:kern w:val="0"/>
                <w:sz w:val="18"/>
                <w:szCs w:val="18"/>
              </w:rPr>
            </w:pPr>
            <w:r>
              <w:rPr>
                <w:rFonts w:eastAsia="黑体"/>
                <w:b/>
                <w:sz w:val="18"/>
                <w:szCs w:val="18"/>
              </w:rPr>
              <w:t>序 号</w:t>
            </w:r>
          </w:p>
        </w:tc>
        <w:tc>
          <w:tcPr>
            <w:tcW w:w="1078" w:type="dxa"/>
            <w:vMerge w:val="restart"/>
            <w:tcBorders>
              <w:top w:val="single" w:color="auto" w:sz="4" w:space="0"/>
              <w:left w:val="nil"/>
              <w:right w:val="single" w:color="auto" w:sz="4" w:space="0"/>
            </w:tcBorders>
            <w:noWrap w:val="0"/>
            <w:vAlign w:val="center"/>
          </w:tcPr>
          <w:p>
            <w:pPr>
              <w:jc w:val="center"/>
              <w:rPr>
                <w:rFonts w:eastAsia="黑体"/>
                <w:b/>
                <w:sz w:val="18"/>
                <w:szCs w:val="18"/>
              </w:rPr>
            </w:pPr>
            <w:r>
              <w:rPr>
                <w:rFonts w:eastAsia="黑体"/>
                <w:b/>
                <w:sz w:val="18"/>
                <w:szCs w:val="18"/>
              </w:rPr>
              <w:t>公开领域</w:t>
            </w:r>
          </w:p>
          <w:p>
            <w:pPr>
              <w:jc w:val="center"/>
              <w:rPr>
                <w:rFonts w:eastAsia="黑体"/>
                <w:b/>
                <w:sz w:val="18"/>
                <w:szCs w:val="18"/>
              </w:rPr>
            </w:pPr>
            <w:r>
              <w:rPr>
                <w:rFonts w:eastAsia="黑体"/>
                <w:b/>
                <w:sz w:val="18"/>
                <w:szCs w:val="18"/>
              </w:rPr>
              <w:t>（编码）</w:t>
            </w:r>
          </w:p>
        </w:tc>
        <w:tc>
          <w:tcPr>
            <w:tcW w:w="2158" w:type="dxa"/>
            <w:gridSpan w:val="2"/>
            <w:tcBorders>
              <w:top w:val="single" w:color="auto" w:sz="4" w:space="0"/>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公开事项</w:t>
            </w:r>
          </w:p>
        </w:tc>
        <w:tc>
          <w:tcPr>
            <w:tcW w:w="204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公开内容</w:t>
            </w:r>
            <w:r>
              <w:rPr>
                <w:rFonts w:eastAsia="黑体"/>
                <w:b/>
                <w:sz w:val="18"/>
                <w:szCs w:val="18"/>
              </w:rPr>
              <w:br w:type="textWrapping"/>
            </w:r>
            <w:r>
              <w:rPr>
                <w:rFonts w:eastAsia="黑体"/>
                <w:b/>
                <w:sz w:val="18"/>
                <w:szCs w:val="18"/>
              </w:rPr>
              <w:t xml:space="preserve">（要素）     </w:t>
            </w:r>
          </w:p>
        </w:tc>
        <w:tc>
          <w:tcPr>
            <w:tcW w:w="198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公开依据</w:t>
            </w:r>
          </w:p>
        </w:tc>
        <w:tc>
          <w:tcPr>
            <w:tcW w:w="124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公开时限</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黑体"/>
                <w:b/>
                <w:sz w:val="18"/>
                <w:szCs w:val="18"/>
              </w:rPr>
            </w:pPr>
            <w:r>
              <w:rPr>
                <w:rFonts w:eastAsia="黑体"/>
                <w:b/>
                <w:sz w:val="18"/>
                <w:szCs w:val="18"/>
              </w:rPr>
              <w:t>公开</w:t>
            </w:r>
          </w:p>
          <w:p>
            <w:pPr>
              <w:jc w:val="center"/>
              <w:rPr>
                <w:rFonts w:eastAsia="黑体"/>
                <w:b/>
                <w:sz w:val="18"/>
                <w:szCs w:val="18"/>
              </w:rPr>
            </w:pPr>
            <w:r>
              <w:rPr>
                <w:rFonts w:eastAsia="黑体"/>
                <w:b/>
                <w:sz w:val="18"/>
                <w:szCs w:val="18"/>
              </w:rPr>
              <w:t>主体</w:t>
            </w:r>
          </w:p>
        </w:tc>
        <w:tc>
          <w:tcPr>
            <w:tcW w:w="278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公开渠道和载体</w:t>
            </w:r>
          </w:p>
        </w:tc>
        <w:tc>
          <w:tcPr>
            <w:tcW w:w="865" w:type="dxa"/>
            <w:gridSpan w:val="2"/>
            <w:tcBorders>
              <w:top w:val="single" w:color="auto" w:sz="4" w:space="0"/>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公开对象</w:t>
            </w:r>
          </w:p>
        </w:tc>
        <w:tc>
          <w:tcPr>
            <w:tcW w:w="847" w:type="dxa"/>
            <w:gridSpan w:val="2"/>
            <w:tcBorders>
              <w:top w:val="single" w:color="auto" w:sz="4" w:space="0"/>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公开方式</w:t>
            </w:r>
          </w:p>
        </w:tc>
        <w:tc>
          <w:tcPr>
            <w:tcW w:w="1170" w:type="dxa"/>
            <w:gridSpan w:val="3"/>
            <w:tcBorders>
              <w:top w:val="single" w:color="auto" w:sz="4" w:space="0"/>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公开层级</w:t>
            </w:r>
          </w:p>
        </w:tc>
      </w:tr>
      <w:tr>
        <w:tblPrEx>
          <w:tblCellMar>
            <w:top w:w="0" w:type="dxa"/>
            <w:left w:w="108" w:type="dxa"/>
            <w:bottom w:w="0" w:type="dxa"/>
            <w:right w:w="108" w:type="dxa"/>
          </w:tblCellMar>
        </w:tblPrEx>
        <w:trPr>
          <w:trHeight w:val="1281" w:hRule="atLeast"/>
          <w:tblHeader/>
          <w:jc w:val="center"/>
        </w:trPr>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1078" w:type="dxa"/>
            <w:vMerge w:val="continue"/>
            <w:tcBorders>
              <w:left w:val="nil"/>
              <w:bottom w:val="single" w:color="auto" w:sz="4" w:space="0"/>
              <w:right w:val="single" w:color="auto" w:sz="4" w:space="0"/>
            </w:tcBorders>
            <w:noWrap w:val="0"/>
            <w:vAlign w:val="center"/>
          </w:tcPr>
          <w:p>
            <w:pPr>
              <w:jc w:val="center"/>
              <w:rPr>
                <w:rFonts w:eastAsia="黑体"/>
                <w:b/>
                <w:sz w:val="18"/>
                <w:szCs w:val="18"/>
              </w:rPr>
            </w:pPr>
          </w:p>
        </w:tc>
        <w:tc>
          <w:tcPr>
            <w:tcW w:w="1050"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一级事项</w:t>
            </w:r>
          </w:p>
          <w:p>
            <w:pPr>
              <w:jc w:val="center"/>
              <w:rPr>
                <w:rFonts w:eastAsia="黑体"/>
                <w:b/>
                <w:sz w:val="18"/>
                <w:szCs w:val="18"/>
              </w:rPr>
            </w:pPr>
            <w:r>
              <w:rPr>
                <w:rFonts w:eastAsia="黑体"/>
                <w:b/>
                <w:sz w:val="18"/>
                <w:szCs w:val="18"/>
              </w:rPr>
              <w:t>（编码）</w:t>
            </w:r>
          </w:p>
        </w:tc>
        <w:tc>
          <w:tcPr>
            <w:tcW w:w="1108"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二级事项</w:t>
            </w:r>
          </w:p>
          <w:p>
            <w:pPr>
              <w:jc w:val="center"/>
              <w:rPr>
                <w:rFonts w:eastAsia="黑体"/>
                <w:b/>
                <w:sz w:val="18"/>
                <w:szCs w:val="18"/>
              </w:rPr>
            </w:pPr>
            <w:r>
              <w:rPr>
                <w:rFonts w:eastAsia="黑体"/>
                <w:b/>
                <w:sz w:val="18"/>
                <w:szCs w:val="18"/>
              </w:rPr>
              <w:t>（编码）</w:t>
            </w:r>
          </w:p>
        </w:tc>
        <w:tc>
          <w:tcPr>
            <w:tcW w:w="204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450"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全</w:t>
            </w:r>
            <w:r>
              <w:rPr>
                <w:rFonts w:eastAsia="黑体"/>
                <w:b/>
                <w:sz w:val="18"/>
                <w:szCs w:val="18"/>
              </w:rPr>
              <w:br w:type="textWrapping"/>
            </w:r>
            <w:r>
              <w:rPr>
                <w:rFonts w:eastAsia="黑体"/>
                <w:b/>
                <w:sz w:val="18"/>
                <w:szCs w:val="18"/>
              </w:rPr>
              <w:t>社会</w:t>
            </w:r>
          </w:p>
        </w:tc>
        <w:tc>
          <w:tcPr>
            <w:tcW w:w="415"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特定群体</w:t>
            </w:r>
          </w:p>
        </w:tc>
        <w:tc>
          <w:tcPr>
            <w:tcW w:w="397"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主动</w:t>
            </w:r>
          </w:p>
        </w:tc>
        <w:tc>
          <w:tcPr>
            <w:tcW w:w="450"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依</w:t>
            </w:r>
            <w:r>
              <w:rPr>
                <w:rFonts w:eastAsia="黑体"/>
                <w:b/>
                <w:sz w:val="18"/>
                <w:szCs w:val="18"/>
              </w:rPr>
              <w:br w:type="textWrapping"/>
            </w:r>
            <w:r>
              <w:rPr>
                <w:rFonts w:eastAsia="黑体"/>
                <w:b/>
                <w:sz w:val="18"/>
                <w:szCs w:val="18"/>
              </w:rPr>
              <w:t>申请</w:t>
            </w:r>
          </w:p>
        </w:tc>
        <w:tc>
          <w:tcPr>
            <w:tcW w:w="411"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县级</w:t>
            </w:r>
          </w:p>
        </w:tc>
        <w:tc>
          <w:tcPr>
            <w:tcW w:w="399"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乡级</w:t>
            </w:r>
          </w:p>
        </w:tc>
        <w:tc>
          <w:tcPr>
            <w:tcW w:w="360" w:type="dxa"/>
            <w:tcBorders>
              <w:top w:val="nil"/>
              <w:left w:val="nil"/>
              <w:bottom w:val="single" w:color="auto" w:sz="4" w:space="0"/>
              <w:right w:val="single" w:color="auto" w:sz="4" w:space="0"/>
            </w:tcBorders>
            <w:noWrap w:val="0"/>
            <w:vAlign w:val="top"/>
          </w:tcPr>
          <w:p>
            <w:pPr>
              <w:jc w:val="center"/>
              <w:rPr>
                <w:rFonts w:eastAsia="黑体"/>
                <w:b/>
                <w:sz w:val="18"/>
                <w:szCs w:val="18"/>
              </w:rPr>
            </w:pPr>
          </w:p>
          <w:p>
            <w:pPr>
              <w:jc w:val="center"/>
              <w:rPr>
                <w:rFonts w:eastAsia="黑体"/>
                <w:b/>
                <w:sz w:val="18"/>
                <w:szCs w:val="18"/>
              </w:rPr>
            </w:pPr>
            <w:r>
              <w:rPr>
                <w:rFonts w:eastAsia="黑体"/>
                <w:b/>
                <w:sz w:val="18"/>
                <w:szCs w:val="18"/>
              </w:rPr>
              <w:t>村级</w:t>
            </w:r>
          </w:p>
        </w:tc>
      </w:tr>
      <w:tr>
        <w:tblPrEx>
          <w:tblCellMar>
            <w:top w:w="0" w:type="dxa"/>
            <w:left w:w="108" w:type="dxa"/>
            <w:bottom w:w="0" w:type="dxa"/>
            <w:right w:w="108" w:type="dxa"/>
          </w:tblCellMar>
        </w:tblPrEx>
        <w:trPr>
          <w:trHeight w:val="2073"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
                <w:sz w:val="24"/>
              </w:rPr>
            </w:pPr>
            <w:r>
              <w:rPr>
                <w:b/>
                <w:sz w:val="24"/>
              </w:rPr>
              <w:t>1</w:t>
            </w:r>
          </w:p>
        </w:tc>
        <w:tc>
          <w:tcPr>
            <w:tcW w:w="1078" w:type="dxa"/>
            <w:vMerge w:val="restart"/>
            <w:tcBorders>
              <w:top w:val="single" w:color="auto" w:sz="4" w:space="0"/>
              <w:left w:val="nil"/>
              <w:right w:val="single" w:color="auto" w:sz="4" w:space="0"/>
            </w:tcBorders>
            <w:noWrap w:val="0"/>
            <w:vAlign w:val="center"/>
          </w:tcPr>
          <w:p>
            <w:pPr>
              <w:spacing w:line="240" w:lineRule="exact"/>
              <w:jc w:val="center"/>
              <w:rPr>
                <w:b/>
                <w:sz w:val="18"/>
                <w:szCs w:val="18"/>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nil"/>
              <w:right w:val="single" w:color="auto" w:sz="4" w:space="0"/>
            </w:tcBorders>
            <w:noWrap w:val="0"/>
            <w:vAlign w:val="center"/>
          </w:tcPr>
          <w:p>
            <w:pPr>
              <w:jc w:val="center"/>
              <w:rPr>
                <w:rFonts w:hint="eastAsia"/>
                <w:b/>
                <w:bCs/>
                <w:color w:val="000000"/>
                <w:sz w:val="18"/>
                <w:szCs w:val="18"/>
              </w:rPr>
            </w:pPr>
            <w:r>
              <w:rPr>
                <w:rFonts w:hint="eastAsia"/>
                <w:b/>
                <w:bCs/>
                <w:color w:val="000000"/>
                <w:sz w:val="18"/>
                <w:szCs w:val="18"/>
              </w:rPr>
              <w:t>政策文件</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001000</w:t>
            </w:r>
          </w:p>
        </w:tc>
        <w:tc>
          <w:tcPr>
            <w:tcW w:w="1108" w:type="dxa"/>
            <w:tcBorders>
              <w:top w:val="single" w:color="auto" w:sz="4" w:space="0"/>
              <w:left w:val="nil"/>
              <w:bottom w:val="single" w:color="auto" w:sz="4" w:space="0"/>
              <w:right w:val="single" w:color="auto" w:sz="4" w:space="0"/>
            </w:tcBorders>
            <w:noWrap w:val="0"/>
            <w:vAlign w:val="center"/>
          </w:tcPr>
          <w:p>
            <w:pPr>
              <w:jc w:val="center"/>
              <w:rPr>
                <w:b/>
                <w:bCs/>
                <w:color w:val="000000"/>
                <w:sz w:val="18"/>
                <w:szCs w:val="18"/>
              </w:rPr>
            </w:pPr>
            <w:r>
              <w:rPr>
                <w:rFonts w:hint="eastAsia"/>
                <w:b/>
                <w:bCs/>
                <w:color w:val="000000"/>
                <w:sz w:val="18"/>
                <w:szCs w:val="18"/>
                <w:lang w:eastAsia="zh-CN"/>
              </w:rPr>
              <w:t>政策文件</w:t>
            </w:r>
            <w:r>
              <w:rPr>
                <w:b/>
                <w:bCs/>
                <w:color w:val="000000"/>
                <w:sz w:val="18"/>
                <w:szCs w:val="18"/>
              </w:rPr>
              <w:t>1</w:t>
            </w:r>
            <w:r>
              <w:rPr>
                <w:rFonts w:hint="eastAsia"/>
                <w:b/>
                <w:bCs/>
                <w:color w:val="000000"/>
                <w:sz w:val="18"/>
                <w:szCs w:val="18"/>
                <w:lang w:val="en-US" w:eastAsia="zh-CN"/>
              </w:rPr>
              <w:t>33</w:t>
            </w:r>
            <w:r>
              <w:rPr>
                <w:b/>
                <w:bCs/>
                <w:color w:val="000000"/>
                <w:sz w:val="18"/>
                <w:szCs w:val="18"/>
              </w:rPr>
              <w:t>001001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color w:val="000000"/>
                <w:sz w:val="18"/>
                <w:szCs w:val="18"/>
              </w:rPr>
            </w:pPr>
            <w:r>
              <w:rPr>
                <w:rFonts w:hint="eastAsia"/>
                <w:b/>
                <w:bCs/>
                <w:color w:val="000000"/>
                <w:sz w:val="18"/>
                <w:szCs w:val="18"/>
                <w:lang w:eastAsia="zh-CN"/>
              </w:rPr>
              <w:t>本级政府及水行政主管部门出台的政策文件及相关解读</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《中华人民共和国政府信息公开条例》(国务院令第711号）</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信息形成或变更之日起20个工作日内</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hint="default"/>
                <w:b/>
                <w:bCs/>
                <w:sz w:val="18"/>
                <w:szCs w:val="18"/>
                <w:lang w:val="en-US"/>
              </w:rPr>
            </w:pPr>
            <w:r>
              <w:rPr>
                <w:rFonts w:hint="eastAsia" w:ascii="Times New Roman" w:hAnsi="Times New Roman" w:eastAsia="宋体" w:cs="Times New Roman"/>
                <w:b/>
                <w:bCs/>
                <w:color w:val="000000"/>
                <w:sz w:val="18"/>
                <w:szCs w:val="18"/>
                <w:lang w:val="en-US" w:eastAsia="zh-CN"/>
              </w:rPr>
              <w:t>县水利局</w:t>
            </w:r>
          </w:p>
        </w:tc>
        <w:tc>
          <w:tcPr>
            <w:tcW w:w="2781" w:type="dxa"/>
            <w:vMerge w:val="restart"/>
            <w:tcBorders>
              <w:top w:val="single" w:color="auto" w:sz="4" w:space="0"/>
              <w:left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000000"/>
                <w:sz w:val="18"/>
                <w:szCs w:val="18"/>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3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4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p>
        </w:tc>
        <w:tc>
          <w:tcPr>
            <w:tcW w:w="360" w:type="dxa"/>
            <w:tcBorders>
              <w:top w:val="single" w:color="auto" w:sz="4" w:space="0"/>
              <w:left w:val="nil"/>
              <w:bottom w:val="single" w:color="auto" w:sz="4" w:space="0"/>
              <w:right w:val="single" w:color="auto" w:sz="4" w:space="0"/>
            </w:tcBorders>
            <w:noWrap w:val="0"/>
            <w:vAlign w:val="top"/>
          </w:tcPr>
          <w:p>
            <w:pPr>
              <w:spacing w:line="240" w:lineRule="exact"/>
              <w:jc w:val="center"/>
              <w:rPr>
                <w:b/>
                <w:sz w:val="18"/>
                <w:szCs w:val="18"/>
              </w:rPr>
            </w:pPr>
          </w:p>
        </w:tc>
      </w:tr>
      <w:tr>
        <w:tblPrEx>
          <w:tblCellMar>
            <w:top w:w="0" w:type="dxa"/>
            <w:left w:w="108" w:type="dxa"/>
            <w:bottom w:w="0" w:type="dxa"/>
            <w:right w:w="108" w:type="dxa"/>
          </w:tblCellMar>
        </w:tblPrEx>
        <w:trPr>
          <w:trHeight w:val="1838"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
                <w:sz w:val="24"/>
              </w:rPr>
            </w:pPr>
            <w:r>
              <w:rPr>
                <w:b/>
                <w:sz w:val="24"/>
              </w:rPr>
              <w:t>2</w:t>
            </w:r>
          </w:p>
        </w:tc>
        <w:tc>
          <w:tcPr>
            <w:tcW w:w="1078" w:type="dxa"/>
            <w:vMerge w:val="continue"/>
            <w:tcBorders>
              <w:left w:val="nil"/>
              <w:right w:val="single" w:color="auto" w:sz="4" w:space="0"/>
            </w:tcBorders>
            <w:noWrap w:val="0"/>
            <w:vAlign w:val="center"/>
          </w:tcPr>
          <w:p>
            <w:pPr>
              <w:spacing w:line="240" w:lineRule="exact"/>
              <w:jc w:val="center"/>
              <w:rPr>
                <w:b/>
                <w:sz w:val="18"/>
                <w:szCs w:val="18"/>
              </w:rPr>
            </w:pPr>
          </w:p>
        </w:tc>
        <w:tc>
          <w:tcPr>
            <w:tcW w:w="1050" w:type="dxa"/>
            <w:vMerge w:val="continue"/>
            <w:tcBorders>
              <w:left w:val="nil"/>
              <w:right w:val="single" w:color="auto" w:sz="4" w:space="0"/>
            </w:tcBorders>
            <w:noWrap w:val="0"/>
            <w:vAlign w:val="center"/>
          </w:tcPr>
          <w:p>
            <w:pPr>
              <w:jc w:val="center"/>
              <w:rPr>
                <w:b/>
                <w:bCs/>
                <w:color w:val="000000"/>
                <w:sz w:val="18"/>
                <w:szCs w:val="18"/>
              </w:rPr>
            </w:pPr>
          </w:p>
        </w:tc>
        <w:tc>
          <w:tcPr>
            <w:tcW w:w="1108" w:type="dxa"/>
            <w:tcBorders>
              <w:top w:val="single" w:color="auto" w:sz="4" w:space="0"/>
              <w:left w:val="nil"/>
              <w:bottom w:val="single" w:color="auto" w:sz="4" w:space="0"/>
              <w:right w:val="single" w:color="auto" w:sz="4" w:space="0"/>
            </w:tcBorders>
            <w:noWrap w:val="0"/>
            <w:vAlign w:val="center"/>
          </w:tcPr>
          <w:p>
            <w:pPr>
              <w:jc w:val="center"/>
              <w:rPr>
                <w:b/>
                <w:bCs/>
                <w:color w:val="000000"/>
                <w:sz w:val="18"/>
                <w:szCs w:val="18"/>
              </w:rPr>
            </w:pPr>
            <w:r>
              <w:rPr>
                <w:b/>
                <w:bCs/>
                <w:color w:val="000000"/>
                <w:sz w:val="18"/>
                <w:szCs w:val="18"/>
              </w:rPr>
              <w:t>其他政策文件</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001002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其他可以公开的</w:t>
            </w:r>
            <w:r>
              <w:rPr>
                <w:rFonts w:hint="eastAsia"/>
                <w:b/>
                <w:bCs/>
                <w:color w:val="000000"/>
                <w:sz w:val="18"/>
                <w:szCs w:val="18"/>
                <w:lang w:eastAsia="zh-CN"/>
              </w:rPr>
              <w:t>水利领域</w:t>
            </w:r>
            <w:r>
              <w:rPr>
                <w:b/>
                <w:bCs/>
                <w:color w:val="000000"/>
                <w:sz w:val="18"/>
                <w:szCs w:val="18"/>
              </w:rPr>
              <w:t>有关政策文件等</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《中华人民共和国政府信息公开条例》(国务院令第711号）</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信息形成或变更之日起20个工作日内</w:t>
            </w:r>
          </w:p>
        </w:tc>
        <w:tc>
          <w:tcPr>
            <w:tcW w:w="1027" w:type="dxa"/>
            <w:vMerge w:val="continue"/>
            <w:tcBorders>
              <w:left w:val="single" w:color="auto" w:sz="4" w:space="0"/>
              <w:right w:val="single" w:color="auto" w:sz="4" w:space="0"/>
            </w:tcBorders>
            <w:noWrap w:val="0"/>
            <w:vAlign w:val="center"/>
          </w:tcPr>
          <w:p>
            <w:pPr>
              <w:jc w:val="center"/>
              <w:rPr>
                <w:b/>
                <w:bCs/>
                <w:sz w:val="18"/>
                <w:szCs w:val="18"/>
              </w:rPr>
            </w:pPr>
          </w:p>
        </w:tc>
        <w:tc>
          <w:tcPr>
            <w:tcW w:w="2781" w:type="dxa"/>
            <w:vMerge w:val="continue"/>
            <w:tcBorders>
              <w:left w:val="single" w:color="auto" w:sz="4" w:space="0"/>
              <w:right w:val="single" w:color="auto" w:sz="4" w:space="0"/>
            </w:tcBorders>
            <w:noWrap w:val="0"/>
            <w:vAlign w:val="center"/>
          </w:tcPr>
          <w:p>
            <w:pPr>
              <w:widowControl/>
              <w:spacing w:line="240" w:lineRule="exact"/>
              <w:jc w:val="left"/>
              <w:textAlignment w:val="center"/>
              <w:rPr>
                <w:rStyle w:val="6"/>
                <w:rFonts w:hint="default" w:ascii="Times New Roman" w:hAnsi="Times New Roman" w:eastAsia="宋体" w:cs="Times New Roman"/>
                <w:b/>
                <w:sz w:val="18"/>
                <w:szCs w:val="18"/>
                <w:lang w:bidi="ar"/>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3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4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b/>
                <w:color w:val="000000"/>
                <w:sz w:val="18"/>
                <w:szCs w:val="18"/>
              </w:rPr>
            </w:pPr>
          </w:p>
        </w:tc>
        <w:tc>
          <w:tcPr>
            <w:tcW w:w="360" w:type="dxa"/>
            <w:tcBorders>
              <w:top w:val="single" w:color="auto" w:sz="4" w:space="0"/>
              <w:left w:val="nil"/>
              <w:bottom w:val="single" w:color="auto" w:sz="4" w:space="0"/>
              <w:right w:val="single" w:color="auto" w:sz="4" w:space="0"/>
            </w:tcBorders>
            <w:noWrap w:val="0"/>
            <w:vAlign w:val="top"/>
          </w:tcPr>
          <w:p>
            <w:pPr>
              <w:spacing w:line="240" w:lineRule="exact"/>
              <w:jc w:val="center"/>
              <w:rPr>
                <w:b/>
                <w:sz w:val="18"/>
                <w:szCs w:val="18"/>
              </w:rPr>
            </w:pPr>
          </w:p>
        </w:tc>
      </w:tr>
      <w:tr>
        <w:tblPrEx>
          <w:tblCellMar>
            <w:top w:w="0" w:type="dxa"/>
            <w:left w:w="108" w:type="dxa"/>
            <w:bottom w:w="0" w:type="dxa"/>
            <w:right w:w="108" w:type="dxa"/>
          </w:tblCellMar>
        </w:tblPrEx>
        <w:trPr>
          <w:trHeight w:val="1244"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rPr>
            </w:pPr>
            <w:r>
              <w:rPr>
                <w:b/>
                <w:bCs/>
                <w:sz w:val="24"/>
              </w:rPr>
              <w:t>3</w:t>
            </w:r>
          </w:p>
        </w:tc>
        <w:tc>
          <w:tcPr>
            <w:tcW w:w="1078" w:type="dxa"/>
            <w:vMerge w:val="continue"/>
            <w:tcBorders>
              <w:left w:val="nil"/>
              <w:bottom w:val="single" w:color="auto" w:sz="4" w:space="0"/>
              <w:right w:val="single" w:color="auto" w:sz="4" w:space="0"/>
            </w:tcBorders>
            <w:noWrap w:val="0"/>
            <w:vAlign w:val="center"/>
          </w:tcPr>
          <w:p>
            <w:pPr>
              <w:jc w:val="center"/>
              <w:rPr>
                <w:b/>
                <w:bCs/>
              </w:rPr>
            </w:pPr>
          </w:p>
        </w:tc>
        <w:tc>
          <w:tcPr>
            <w:tcW w:w="1050" w:type="dxa"/>
            <w:vMerge w:val="continue"/>
            <w:tcBorders>
              <w:left w:val="nil"/>
              <w:bottom w:val="single" w:color="auto" w:sz="4" w:space="0"/>
              <w:right w:val="single" w:color="auto" w:sz="4" w:space="0"/>
            </w:tcBorders>
            <w:noWrap w:val="0"/>
            <w:vAlign w:val="center"/>
          </w:tcPr>
          <w:p>
            <w:pPr>
              <w:jc w:val="center"/>
              <w:rPr>
                <w:b/>
                <w:bCs/>
              </w:rPr>
            </w:pPr>
          </w:p>
        </w:tc>
        <w:tc>
          <w:tcPr>
            <w:tcW w:w="1108" w:type="dxa"/>
            <w:tcBorders>
              <w:top w:val="single" w:color="auto" w:sz="4" w:space="0"/>
              <w:left w:val="nil"/>
              <w:bottom w:val="single" w:color="auto" w:sz="4" w:space="0"/>
              <w:right w:val="single" w:color="auto" w:sz="4" w:space="0"/>
            </w:tcBorders>
            <w:noWrap w:val="0"/>
            <w:vAlign w:val="center"/>
          </w:tcPr>
          <w:p>
            <w:pPr>
              <w:jc w:val="center"/>
              <w:rPr>
                <w:rFonts w:hint="eastAsia" w:eastAsia="宋体"/>
                <w:b/>
                <w:bCs/>
                <w:color w:val="000000"/>
                <w:sz w:val="18"/>
                <w:szCs w:val="18"/>
                <w:lang w:eastAsia="zh-CN"/>
              </w:rPr>
            </w:pPr>
            <w:r>
              <w:rPr>
                <w:b/>
                <w:bCs/>
                <w:color w:val="000000"/>
                <w:sz w:val="18"/>
                <w:szCs w:val="18"/>
              </w:rPr>
              <w:t>重大决策</w:t>
            </w:r>
            <w:r>
              <w:rPr>
                <w:rFonts w:hint="eastAsia"/>
                <w:b/>
                <w:bCs/>
                <w:color w:val="000000"/>
                <w:sz w:val="18"/>
                <w:szCs w:val="18"/>
                <w:lang w:eastAsia="zh-CN"/>
              </w:rPr>
              <w:t>预公开</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001003</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rFonts w:hint="eastAsia" w:ascii="Times New Roman" w:hAnsi="Times New Roman" w:eastAsia="宋体" w:cs="Times New Roman"/>
                <w:b/>
                <w:bCs/>
                <w:color w:val="000000"/>
                <w:sz w:val="18"/>
                <w:szCs w:val="18"/>
                <w:lang w:val="en-US" w:eastAsia="zh-CN"/>
              </w:rPr>
              <w:t>水利领域的重大决策，决策前向社会公开决策草案、决策依据，意见征集方式和期限</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《中华人民共和国政府信息公开条例》(国务院令第711号），中央办公厅、国务院办公厅《关于全面推进政务公开工作的意见》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按进展情况及时公开</w:t>
            </w:r>
          </w:p>
        </w:tc>
        <w:tc>
          <w:tcPr>
            <w:tcW w:w="1027" w:type="dxa"/>
            <w:vMerge w:val="continue"/>
            <w:tcBorders>
              <w:left w:val="single" w:color="auto" w:sz="4" w:space="0"/>
              <w:bottom w:val="single" w:color="auto" w:sz="4" w:space="0"/>
              <w:right w:val="single" w:color="auto" w:sz="4" w:space="0"/>
            </w:tcBorders>
            <w:noWrap w:val="0"/>
            <w:vAlign w:val="center"/>
          </w:tcPr>
          <w:p>
            <w:pPr>
              <w:jc w:val="center"/>
              <w:rPr>
                <w:b/>
                <w:bCs/>
                <w:sz w:val="18"/>
                <w:szCs w:val="18"/>
              </w:rPr>
            </w:pPr>
          </w:p>
        </w:tc>
        <w:tc>
          <w:tcPr>
            <w:tcW w:w="2781" w:type="dxa"/>
            <w:vMerge w:val="continue"/>
            <w:tcBorders>
              <w:left w:val="single" w:color="auto" w:sz="4" w:space="0"/>
              <w:bottom w:val="single" w:color="auto" w:sz="4" w:space="0"/>
              <w:right w:val="single" w:color="auto" w:sz="4" w:space="0"/>
            </w:tcBorders>
            <w:noWrap w:val="0"/>
            <w:vAlign w:val="center"/>
          </w:tcPr>
          <w:p>
            <w:pPr>
              <w:rPr>
                <w:b/>
                <w:bCs/>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3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4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b/>
                <w:color w:val="000000"/>
                <w:sz w:val="18"/>
                <w:szCs w:val="18"/>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3545"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rPr>
            </w:pPr>
            <w:r>
              <w:rPr>
                <w:b/>
                <w:bCs/>
                <w:sz w:val="24"/>
              </w:rPr>
              <w:t>4</w:t>
            </w:r>
          </w:p>
        </w:tc>
        <w:tc>
          <w:tcPr>
            <w:tcW w:w="1078" w:type="dxa"/>
            <w:vMerge w:val="restart"/>
            <w:tcBorders>
              <w:top w:val="single" w:color="auto" w:sz="4" w:space="0"/>
              <w:left w:val="nil"/>
              <w:right w:val="single" w:color="auto" w:sz="4" w:space="0"/>
            </w:tcBorders>
            <w:noWrap w:val="0"/>
            <w:vAlign w:val="center"/>
          </w:tcPr>
          <w:p>
            <w:pPr>
              <w:jc w:val="center"/>
              <w:rPr>
                <w:b/>
                <w:bCs/>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nil"/>
              <w:right w:val="single" w:color="auto" w:sz="4" w:space="0"/>
            </w:tcBorders>
            <w:noWrap w:val="0"/>
            <w:vAlign w:val="center"/>
          </w:tcPr>
          <w:p>
            <w:pPr>
              <w:jc w:val="center"/>
              <w:rPr>
                <w:rFonts w:hint="eastAsia"/>
                <w:b/>
                <w:bCs/>
                <w:color w:val="000000"/>
                <w:sz w:val="18"/>
                <w:szCs w:val="18"/>
              </w:rPr>
            </w:pPr>
            <w:r>
              <w:rPr>
                <w:rFonts w:hint="eastAsia"/>
                <w:b/>
                <w:bCs/>
                <w:color w:val="000000"/>
                <w:sz w:val="18"/>
                <w:szCs w:val="18"/>
              </w:rPr>
              <w:t>政策文件</w:t>
            </w:r>
          </w:p>
          <w:p>
            <w:pPr>
              <w:jc w:val="center"/>
              <w:rPr>
                <w:b/>
                <w:bCs/>
              </w:rPr>
            </w:pPr>
            <w:r>
              <w:rPr>
                <w:b/>
                <w:bCs/>
                <w:color w:val="000000"/>
                <w:sz w:val="18"/>
                <w:szCs w:val="18"/>
              </w:rPr>
              <w:t>1</w:t>
            </w:r>
            <w:r>
              <w:rPr>
                <w:rFonts w:hint="eastAsia"/>
                <w:b/>
                <w:bCs/>
                <w:color w:val="000000"/>
                <w:sz w:val="18"/>
                <w:szCs w:val="18"/>
                <w:lang w:val="en-US" w:eastAsia="zh-CN"/>
              </w:rPr>
              <w:t>33</w:t>
            </w:r>
            <w:r>
              <w:rPr>
                <w:b/>
                <w:bCs/>
                <w:color w:val="000000"/>
                <w:sz w:val="18"/>
                <w:szCs w:val="18"/>
              </w:rPr>
              <w:t>001000</w:t>
            </w:r>
          </w:p>
        </w:tc>
        <w:tc>
          <w:tcPr>
            <w:tcW w:w="1108" w:type="dxa"/>
            <w:tcBorders>
              <w:top w:val="single" w:color="auto" w:sz="4" w:space="0"/>
              <w:left w:val="nil"/>
              <w:bottom w:val="single" w:color="auto" w:sz="4" w:space="0"/>
              <w:right w:val="single" w:color="auto" w:sz="4" w:space="0"/>
            </w:tcBorders>
            <w:noWrap w:val="0"/>
            <w:vAlign w:val="center"/>
          </w:tcPr>
          <w:p>
            <w:pPr>
              <w:jc w:val="center"/>
              <w:rPr>
                <w:b/>
                <w:bCs/>
                <w:color w:val="000000"/>
                <w:sz w:val="18"/>
                <w:szCs w:val="18"/>
              </w:rPr>
            </w:pPr>
            <w:r>
              <w:rPr>
                <w:b/>
                <w:bCs/>
                <w:color w:val="000000"/>
                <w:sz w:val="18"/>
                <w:szCs w:val="18"/>
              </w:rPr>
              <w:t>征集采纳社会公众意见情况</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001004</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b/>
                <w:bCs/>
                <w:color w:val="000000"/>
                <w:sz w:val="18"/>
                <w:szCs w:val="18"/>
              </w:rPr>
            </w:pPr>
            <w:r>
              <w:rPr>
                <w:b/>
                <w:bCs/>
                <w:color w:val="000000"/>
                <w:sz w:val="18"/>
                <w:szCs w:val="18"/>
              </w:rPr>
              <w:t>重大决策草案公布后征集到的社会公众意见情况、采纳与否情况及理由等</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b/>
                <w:bCs/>
                <w:color w:val="000000"/>
                <w:sz w:val="18"/>
                <w:szCs w:val="18"/>
              </w:rPr>
            </w:pPr>
            <w:r>
              <w:rPr>
                <w:b/>
                <w:bCs/>
                <w:color w:val="000000"/>
                <w:sz w:val="18"/>
                <w:szCs w:val="18"/>
              </w:rPr>
              <w:t>《中华人民共和国政府信息公开条例》(国务院令第711号），中央办公厅、国务院办公厅《关于全面推进政务公开工作的意见》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征求意见时对外公布的时限内公开</w:t>
            </w:r>
          </w:p>
        </w:tc>
        <w:tc>
          <w:tcPr>
            <w:tcW w:w="1027" w:type="dxa"/>
            <w:vMerge w:val="restart"/>
            <w:tcBorders>
              <w:top w:val="single" w:color="auto" w:sz="4" w:space="0"/>
              <w:left w:val="single" w:color="auto" w:sz="4" w:space="0"/>
              <w:right w:val="single" w:color="auto" w:sz="4" w:space="0"/>
            </w:tcBorders>
            <w:noWrap w:val="0"/>
            <w:vAlign w:val="center"/>
          </w:tcPr>
          <w:p>
            <w:pPr>
              <w:jc w:val="center"/>
              <w:rPr>
                <w:b/>
                <w:bCs/>
                <w:sz w:val="18"/>
                <w:szCs w:val="18"/>
              </w:rPr>
            </w:pPr>
            <w:r>
              <w:rPr>
                <w:rFonts w:hint="eastAsia" w:ascii="Times New Roman" w:hAnsi="Times New Roman" w:eastAsia="宋体" w:cs="Times New Roman"/>
                <w:b/>
                <w:bCs/>
                <w:color w:val="000000"/>
                <w:sz w:val="18"/>
                <w:szCs w:val="18"/>
                <w:lang w:val="en-US" w:eastAsia="zh-CN"/>
              </w:rPr>
              <w:t>县水利局</w:t>
            </w:r>
          </w:p>
        </w:tc>
        <w:tc>
          <w:tcPr>
            <w:tcW w:w="2781" w:type="dxa"/>
            <w:vMerge w:val="restart"/>
            <w:tcBorders>
              <w:top w:val="single" w:color="auto" w:sz="4" w:space="0"/>
              <w:left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000000"/>
                <w:sz w:val="18"/>
                <w:szCs w:val="18"/>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2101"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sz w:val="24"/>
                <w:lang w:val="en-US" w:eastAsia="zh-CN"/>
              </w:rPr>
            </w:pPr>
            <w:r>
              <w:rPr>
                <w:rFonts w:hint="eastAsia"/>
                <w:b/>
                <w:bCs/>
                <w:sz w:val="24"/>
                <w:lang w:val="en-US" w:eastAsia="zh-CN"/>
              </w:rPr>
              <w:t>5</w:t>
            </w:r>
          </w:p>
        </w:tc>
        <w:tc>
          <w:tcPr>
            <w:tcW w:w="1078" w:type="dxa"/>
            <w:vMerge w:val="continue"/>
            <w:tcBorders>
              <w:left w:val="nil"/>
              <w:bottom w:val="single" w:color="auto" w:sz="4" w:space="0"/>
              <w:right w:val="single" w:color="auto" w:sz="4" w:space="0"/>
            </w:tcBorders>
            <w:noWrap w:val="0"/>
            <w:vAlign w:val="center"/>
          </w:tcPr>
          <w:p>
            <w:pPr>
              <w:jc w:val="center"/>
              <w:rPr>
                <w:b/>
                <w:bCs/>
              </w:rPr>
            </w:pPr>
          </w:p>
        </w:tc>
        <w:tc>
          <w:tcPr>
            <w:tcW w:w="1050" w:type="dxa"/>
            <w:vMerge w:val="continue"/>
            <w:tcBorders>
              <w:left w:val="nil"/>
              <w:bottom w:val="single" w:color="auto" w:sz="4" w:space="0"/>
              <w:right w:val="single" w:color="auto" w:sz="4" w:space="0"/>
            </w:tcBorders>
            <w:noWrap w:val="0"/>
            <w:vAlign w:val="center"/>
          </w:tcPr>
          <w:p>
            <w:pPr>
              <w:jc w:val="center"/>
              <w:rPr>
                <w:b/>
                <w:bCs/>
              </w:rPr>
            </w:pPr>
          </w:p>
        </w:tc>
        <w:tc>
          <w:tcPr>
            <w:tcW w:w="1108" w:type="dxa"/>
            <w:tcBorders>
              <w:top w:val="single" w:color="auto" w:sz="4" w:space="0"/>
              <w:left w:val="nil"/>
              <w:bottom w:val="single" w:color="auto" w:sz="4" w:space="0"/>
              <w:right w:val="single" w:color="auto" w:sz="4" w:space="0"/>
            </w:tcBorders>
            <w:noWrap w:val="0"/>
            <w:vAlign w:val="center"/>
          </w:tcPr>
          <w:p>
            <w:pPr>
              <w:jc w:val="center"/>
              <w:rPr>
                <w:rFonts w:hint="eastAsia" w:eastAsia="宋体"/>
                <w:b/>
                <w:bCs/>
                <w:sz w:val="18"/>
                <w:szCs w:val="18"/>
                <w:lang w:val="en-US" w:eastAsia="zh-CN"/>
              </w:rPr>
            </w:pPr>
            <w:r>
              <w:rPr>
                <w:rFonts w:hint="eastAsia"/>
                <w:b/>
                <w:bCs/>
                <w:sz w:val="18"/>
                <w:szCs w:val="18"/>
                <w:lang w:eastAsia="zh-CN"/>
              </w:rPr>
              <w:t>回应关切</w:t>
            </w:r>
            <w:r>
              <w:rPr>
                <w:b/>
                <w:bCs/>
                <w:sz w:val="18"/>
                <w:szCs w:val="18"/>
              </w:rPr>
              <w:t>1</w:t>
            </w:r>
            <w:r>
              <w:rPr>
                <w:rFonts w:hint="eastAsia"/>
                <w:b/>
                <w:bCs/>
                <w:sz w:val="18"/>
                <w:szCs w:val="18"/>
                <w:lang w:val="en-US" w:eastAsia="zh-CN"/>
              </w:rPr>
              <w:t>33</w:t>
            </w:r>
            <w:r>
              <w:rPr>
                <w:b/>
                <w:bCs/>
                <w:sz w:val="18"/>
                <w:szCs w:val="18"/>
              </w:rPr>
              <w:t>00100</w:t>
            </w:r>
            <w:r>
              <w:rPr>
                <w:rFonts w:hint="eastAsia"/>
                <w:b/>
                <w:bCs/>
                <w:sz w:val="18"/>
                <w:szCs w:val="18"/>
                <w:lang w:val="en-US" w:eastAsia="zh-CN"/>
              </w:rPr>
              <w:t>5</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对涉及到水利领域经济社会热点问题、群众广泛关注的热点、咨询的相关问题等进行回应</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《中华人民共和国政府信息公开条例》《国务院办公厅关于进一步加强政府信息公开回应社会关切提升政府公信力的意见》《国务院办公厅关于在政务公开工作中进一步做好政务舆情回应的通知》</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sz w:val="18"/>
                <w:szCs w:val="18"/>
                <w:lang w:eastAsia="zh-CN"/>
              </w:rPr>
            </w:pPr>
            <w:r>
              <w:rPr>
                <w:rFonts w:hint="eastAsia"/>
                <w:b/>
                <w:bCs/>
                <w:sz w:val="18"/>
                <w:szCs w:val="18"/>
                <w:lang w:eastAsia="zh-CN"/>
              </w:rPr>
              <w:t>及时回应</w:t>
            </w:r>
          </w:p>
        </w:tc>
        <w:tc>
          <w:tcPr>
            <w:tcW w:w="1027" w:type="dxa"/>
            <w:vMerge w:val="continue"/>
            <w:tcBorders>
              <w:left w:val="single" w:color="auto" w:sz="4" w:space="0"/>
              <w:bottom w:val="single" w:color="auto" w:sz="4" w:space="0"/>
              <w:right w:val="single" w:color="auto" w:sz="4" w:space="0"/>
            </w:tcBorders>
            <w:noWrap w:val="0"/>
            <w:vAlign w:val="center"/>
          </w:tcPr>
          <w:p>
            <w:pPr>
              <w:jc w:val="center"/>
              <w:rPr>
                <w:b/>
                <w:bCs/>
                <w:sz w:val="18"/>
                <w:szCs w:val="18"/>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sz w:val="18"/>
                <w:szCs w:val="18"/>
              </w:rPr>
            </w:pP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2285"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sz w:val="24"/>
                <w:lang w:val="en-US" w:eastAsia="zh-CN"/>
              </w:rPr>
            </w:pPr>
            <w:r>
              <w:rPr>
                <w:rFonts w:hint="eastAsia"/>
                <w:b/>
                <w:bCs/>
                <w:sz w:val="24"/>
                <w:lang w:val="en-US" w:eastAsia="zh-CN"/>
              </w:rPr>
              <w:t>6</w:t>
            </w:r>
          </w:p>
        </w:tc>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 w:val="18"/>
                <w:szCs w:val="18"/>
              </w:rPr>
            </w:pPr>
            <w:r>
              <w:rPr>
                <w:b/>
                <w:bCs/>
                <w:color w:val="auto"/>
                <w:sz w:val="18"/>
                <w:szCs w:val="18"/>
              </w:rPr>
              <w:t>依法行政</w:t>
            </w:r>
          </w:p>
          <w:p>
            <w:pPr>
              <w:jc w:val="center"/>
              <w:rPr>
                <w:b/>
                <w:bCs/>
                <w:color w:val="auto"/>
              </w:rPr>
            </w:pPr>
            <w:r>
              <w:rPr>
                <w:b/>
                <w:bCs/>
                <w:color w:val="auto"/>
                <w:sz w:val="18"/>
                <w:szCs w:val="18"/>
              </w:rPr>
              <w:t>1</w:t>
            </w:r>
            <w:r>
              <w:rPr>
                <w:rFonts w:hint="eastAsia"/>
                <w:b/>
                <w:bCs/>
                <w:color w:val="auto"/>
                <w:sz w:val="18"/>
                <w:szCs w:val="18"/>
                <w:lang w:val="en-US" w:eastAsia="zh-CN"/>
              </w:rPr>
              <w:t>33</w:t>
            </w:r>
            <w:r>
              <w:rPr>
                <w:b/>
                <w:bCs/>
                <w:color w:val="auto"/>
                <w:sz w:val="18"/>
                <w:szCs w:val="18"/>
              </w:rPr>
              <w:t>002000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 w:val="18"/>
                <w:szCs w:val="18"/>
              </w:rPr>
            </w:pPr>
            <w:r>
              <w:rPr>
                <w:rFonts w:hint="eastAsia"/>
                <w:b/>
                <w:bCs/>
                <w:color w:val="auto"/>
                <w:sz w:val="18"/>
                <w:szCs w:val="18"/>
                <w:lang w:eastAsia="zh-CN"/>
              </w:rPr>
              <w:t>业务办理</w:t>
            </w:r>
            <w:r>
              <w:rPr>
                <w:b/>
                <w:bCs/>
                <w:color w:val="auto"/>
                <w:sz w:val="18"/>
                <w:szCs w:val="18"/>
              </w:rPr>
              <w:t>1</w:t>
            </w:r>
            <w:r>
              <w:rPr>
                <w:rFonts w:hint="eastAsia"/>
                <w:b/>
                <w:bCs/>
                <w:color w:val="auto"/>
                <w:sz w:val="18"/>
                <w:szCs w:val="18"/>
                <w:lang w:val="en-US" w:eastAsia="zh-CN"/>
              </w:rPr>
              <w:t>33</w:t>
            </w:r>
            <w:r>
              <w:rPr>
                <w:b/>
                <w:bCs/>
                <w:color w:val="auto"/>
                <w:sz w:val="18"/>
                <w:szCs w:val="18"/>
              </w:rPr>
              <w:t>002001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lang w:val="en-US" w:eastAsia="zh-CN"/>
              </w:rPr>
              <w:t>主要业务工作的办事依据、条件、程序、时限，办事时间、地点、部门、联系方式及相关办理结果</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lang w:val="en-US" w:eastAsia="zh-CN"/>
              </w:rPr>
              <w:t>《中华人民共和国政府信息公开条例》《国务院办公厅关于全面推行行政执法公示制度全过程记录制度重大执法决定法制审核制度的指导意见》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b/>
                <w:bCs/>
                <w:color w:val="auto"/>
                <w:sz w:val="18"/>
                <w:szCs w:val="18"/>
              </w:rPr>
            </w:pPr>
            <w:r>
              <w:rPr>
                <w:rFonts w:hint="eastAsia" w:ascii="Times New Roman" w:hAnsi="Times New Roman" w:eastAsia="宋体" w:cs="Times New Roman"/>
                <w:b/>
                <w:bCs/>
                <w:color w:val="000000"/>
                <w:sz w:val="18"/>
                <w:szCs w:val="18"/>
                <w:lang w:val="en-US" w:eastAsia="zh-CN"/>
              </w:rPr>
              <w:t>行政许可的执法决定信息在执法决定作出之日起7个工作日内，其他信息形成或者变更之日起20个工作日内</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18"/>
              </w:rPr>
            </w:pPr>
            <w:r>
              <w:rPr>
                <w:rFonts w:hint="eastAsia" w:ascii="Times New Roman" w:hAnsi="Times New Roman" w:eastAsia="宋体" w:cs="Times New Roman"/>
                <w:b/>
                <w:bCs/>
                <w:color w:val="000000"/>
                <w:sz w:val="18"/>
                <w:szCs w:val="18"/>
                <w:lang w:val="en-US" w:eastAsia="zh-CN"/>
              </w:rPr>
              <w:t>县水利局</w:t>
            </w:r>
          </w:p>
        </w:tc>
        <w:tc>
          <w:tcPr>
            <w:tcW w:w="27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000000"/>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1654"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sz w:val="24"/>
                <w:lang w:val="en-US" w:eastAsia="zh-CN"/>
              </w:rPr>
            </w:pPr>
            <w:r>
              <w:rPr>
                <w:rFonts w:hint="eastAsia"/>
                <w:b/>
                <w:bCs/>
                <w:sz w:val="24"/>
                <w:lang w:val="en-US" w:eastAsia="zh-CN"/>
              </w:rPr>
              <w:t>7</w:t>
            </w: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sz w:val="18"/>
                <w:szCs w:val="18"/>
              </w:rPr>
            </w:pPr>
            <w:r>
              <w:rPr>
                <w:b/>
                <w:bCs/>
                <w:color w:val="000000"/>
                <w:sz w:val="18"/>
                <w:szCs w:val="18"/>
              </w:rPr>
              <w:t>行政处罚</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002002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color w:val="000000"/>
                <w:sz w:val="18"/>
                <w:szCs w:val="18"/>
              </w:rPr>
            </w:pPr>
            <w:r>
              <w:rPr>
                <w:b/>
                <w:bCs/>
                <w:color w:val="000000"/>
                <w:sz w:val="18"/>
                <w:szCs w:val="18"/>
              </w:rPr>
              <w:t>办理行政处罚的依据、条件、程序以及行政处罚决定</w:t>
            </w:r>
            <w:r>
              <w:rPr>
                <w:rFonts w:hint="eastAsia"/>
                <w:b/>
                <w:bCs/>
                <w:color w:val="000000"/>
                <w:sz w:val="18"/>
                <w:szCs w:val="18"/>
              </w:rPr>
              <w:t>信息</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《中华人民共和国政府信息公开条例》《国务院办公厅关于全面推行行政执法公示制度全过程记录制度重大执法决定法制审核制度的指导意见》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行政处罚的执法决定信息在执法决定作出之日起7个工作日内，其他信息形成或者变更之日起20个工作日内</w:t>
            </w: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18"/>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sz w:val="18"/>
                <w:szCs w:val="18"/>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1814"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sz w:val="24"/>
                <w:lang w:val="en-US" w:eastAsia="zh-CN"/>
              </w:rPr>
            </w:pPr>
            <w:r>
              <w:rPr>
                <w:rFonts w:hint="eastAsia"/>
                <w:b/>
                <w:bCs/>
                <w:sz w:val="24"/>
                <w:lang w:val="en-US" w:eastAsia="zh-CN"/>
              </w:rPr>
              <w:t>8</w:t>
            </w:r>
          </w:p>
        </w:tc>
        <w:tc>
          <w:tcPr>
            <w:tcW w:w="1078" w:type="dxa"/>
            <w:vMerge w:val="continue"/>
            <w:tcBorders>
              <w:top w:val="single" w:color="auto" w:sz="4" w:space="0"/>
              <w:left w:val="nil"/>
              <w:bottom w:val="single" w:color="auto" w:sz="4" w:space="0"/>
              <w:right w:val="single" w:color="auto" w:sz="4" w:space="0"/>
            </w:tcBorders>
            <w:noWrap w:val="0"/>
            <w:vAlign w:val="center"/>
          </w:tcPr>
          <w:p>
            <w:pPr>
              <w:jc w:val="center"/>
              <w:rPr>
                <w:b/>
                <w:bCs/>
              </w:rPr>
            </w:pPr>
          </w:p>
        </w:tc>
        <w:tc>
          <w:tcPr>
            <w:tcW w:w="1050" w:type="dxa"/>
            <w:vMerge w:val="continue"/>
            <w:tcBorders>
              <w:top w:val="single" w:color="auto" w:sz="4" w:space="0"/>
              <w:left w:val="nil"/>
              <w:bottom w:val="single" w:color="auto" w:sz="4" w:space="0"/>
              <w:right w:val="single" w:color="auto" w:sz="4" w:space="0"/>
            </w:tcBorders>
            <w:noWrap w:val="0"/>
            <w:vAlign w:val="center"/>
          </w:tcPr>
          <w:p>
            <w:pPr>
              <w:jc w:val="center"/>
              <w:rPr>
                <w:b/>
                <w:bCs/>
              </w:rPr>
            </w:pPr>
          </w:p>
        </w:tc>
        <w:tc>
          <w:tcPr>
            <w:tcW w:w="1108" w:type="dxa"/>
            <w:tcBorders>
              <w:top w:val="single" w:color="auto" w:sz="4" w:space="0"/>
              <w:left w:val="nil"/>
              <w:bottom w:val="single" w:color="auto" w:sz="4" w:space="0"/>
              <w:right w:val="single" w:color="auto" w:sz="4" w:space="0"/>
            </w:tcBorders>
            <w:noWrap w:val="0"/>
            <w:vAlign w:val="center"/>
          </w:tcPr>
          <w:p>
            <w:pPr>
              <w:jc w:val="center"/>
              <w:rPr>
                <w:b/>
                <w:bCs/>
                <w:color w:val="000000"/>
                <w:sz w:val="18"/>
                <w:szCs w:val="18"/>
              </w:rPr>
            </w:pPr>
            <w:r>
              <w:rPr>
                <w:b/>
                <w:bCs/>
                <w:color w:val="000000"/>
                <w:sz w:val="18"/>
                <w:szCs w:val="18"/>
              </w:rPr>
              <w:t>行政强制</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002003</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color w:val="000000"/>
                <w:sz w:val="18"/>
                <w:szCs w:val="18"/>
              </w:rPr>
            </w:pPr>
            <w:r>
              <w:rPr>
                <w:b/>
                <w:bCs/>
                <w:color w:val="000000"/>
                <w:sz w:val="18"/>
                <w:szCs w:val="18"/>
              </w:rPr>
              <w:t>办理行政强制的依据、条件、程序</w:t>
            </w:r>
            <w:r>
              <w:rPr>
                <w:rFonts w:hint="eastAsia"/>
                <w:b/>
                <w:bCs/>
                <w:color w:val="000000"/>
                <w:sz w:val="18"/>
                <w:szCs w:val="18"/>
              </w:rPr>
              <w:t>和行政强制决定信息。</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《中华人民共和国政府信息公开条例》《国务院办公厅关于全面推行行政执法公示制度全过程记录制度重大执法决定法制审核制度的指导意见》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行政强制的执法决定信息在执法决定作出之日起7个工作日内，其他信息形成或者变更之日起20个工作日内</w:t>
            </w: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18"/>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sz w:val="18"/>
                <w:szCs w:val="18"/>
              </w:rPr>
            </w:pP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1038"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color w:val="auto"/>
                <w:sz w:val="24"/>
                <w:lang w:eastAsia="zh-CN"/>
              </w:rPr>
            </w:pPr>
            <w:r>
              <w:rPr>
                <w:rFonts w:hint="eastAsia"/>
                <w:b/>
                <w:bCs/>
                <w:color w:val="auto"/>
                <w:sz w:val="24"/>
                <w:u w:val="none"/>
                <w:lang w:val="en-US" w:eastAsia="zh-CN"/>
              </w:rPr>
              <w:t>9</w:t>
            </w:r>
          </w:p>
        </w:tc>
        <w:tc>
          <w:tcPr>
            <w:tcW w:w="1078"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r>
              <w:rPr>
                <w:rFonts w:hint="eastAsia"/>
                <w:b/>
                <w:color w:val="auto"/>
                <w:sz w:val="18"/>
                <w:szCs w:val="18"/>
                <w:lang w:eastAsia="zh-CN"/>
              </w:rPr>
              <w:t>水利领域</w:t>
            </w:r>
            <w:r>
              <w:rPr>
                <w:b/>
                <w:color w:val="auto"/>
                <w:sz w:val="18"/>
                <w:szCs w:val="18"/>
              </w:rPr>
              <w:t>1</w:t>
            </w:r>
            <w:r>
              <w:rPr>
                <w:rFonts w:hint="eastAsia"/>
                <w:b/>
                <w:color w:val="auto"/>
                <w:sz w:val="18"/>
                <w:szCs w:val="18"/>
                <w:lang w:val="en-US" w:eastAsia="zh-CN"/>
              </w:rPr>
              <w:t>33</w:t>
            </w:r>
            <w:r>
              <w:rPr>
                <w:b/>
                <w:color w:val="auto"/>
                <w:sz w:val="18"/>
                <w:szCs w:val="18"/>
              </w:rPr>
              <w:t>000000</w:t>
            </w:r>
          </w:p>
        </w:tc>
        <w:tc>
          <w:tcPr>
            <w:tcW w:w="1050" w:type="dxa"/>
            <w:tcBorders>
              <w:top w:val="single" w:color="auto" w:sz="4" w:space="0"/>
              <w:left w:val="nil"/>
              <w:bottom w:val="single" w:color="auto" w:sz="4" w:space="0"/>
              <w:right w:val="single" w:color="auto" w:sz="4" w:space="0"/>
            </w:tcBorders>
            <w:noWrap w:val="0"/>
            <w:vAlign w:val="center"/>
          </w:tcPr>
          <w:p>
            <w:pPr>
              <w:jc w:val="center"/>
              <w:rPr>
                <w:rFonts w:hint="eastAsia" w:eastAsia="宋体"/>
                <w:b/>
                <w:bCs/>
                <w:color w:val="auto"/>
                <w:u w:val="none"/>
                <w:lang w:eastAsia="zh-CN"/>
              </w:rPr>
            </w:pPr>
            <w:r>
              <w:rPr>
                <w:rFonts w:hint="eastAsia" w:ascii="Times New Roman" w:hAnsi="Times New Roman" w:eastAsia="宋体" w:cs="Times New Roman"/>
                <w:b/>
                <w:bCs/>
                <w:color w:val="auto"/>
                <w:sz w:val="18"/>
                <w:szCs w:val="18"/>
                <w:u w:val="none"/>
                <w:lang w:eastAsia="zh-CN"/>
              </w:rPr>
              <w:t>水利规划1</w:t>
            </w:r>
            <w:r>
              <w:rPr>
                <w:rFonts w:hint="eastAsia" w:ascii="Times New Roman" w:hAnsi="Times New Roman" w:eastAsia="宋体" w:cs="Times New Roman"/>
                <w:b/>
                <w:bCs/>
                <w:color w:val="auto"/>
                <w:sz w:val="18"/>
                <w:szCs w:val="18"/>
                <w:u w:val="none"/>
                <w:lang w:val="en-US" w:eastAsia="zh-CN"/>
              </w:rPr>
              <w:t>33</w:t>
            </w:r>
            <w:r>
              <w:rPr>
                <w:rFonts w:hint="eastAsia" w:ascii="Times New Roman" w:hAnsi="Times New Roman" w:eastAsia="宋体" w:cs="Times New Roman"/>
                <w:b/>
                <w:bCs/>
                <w:color w:val="auto"/>
                <w:sz w:val="18"/>
                <w:szCs w:val="18"/>
                <w:u w:val="none"/>
                <w:lang w:eastAsia="zh-CN"/>
              </w:rPr>
              <w:t>00</w:t>
            </w:r>
            <w:r>
              <w:rPr>
                <w:rFonts w:hint="eastAsia" w:ascii="Times New Roman" w:hAnsi="Times New Roman" w:eastAsia="宋体" w:cs="Times New Roman"/>
                <w:b/>
                <w:bCs/>
                <w:color w:val="auto"/>
                <w:sz w:val="18"/>
                <w:szCs w:val="18"/>
                <w:u w:val="none"/>
                <w:lang w:val="en-US" w:eastAsia="zh-CN"/>
              </w:rPr>
              <w:t>3</w:t>
            </w:r>
            <w:r>
              <w:rPr>
                <w:rFonts w:hint="eastAsia" w:ascii="Times New Roman" w:hAnsi="Times New Roman" w:eastAsia="宋体" w:cs="Times New Roman"/>
                <w:b/>
                <w:bCs/>
                <w:color w:val="auto"/>
                <w:sz w:val="18"/>
                <w:szCs w:val="18"/>
                <w:u w:val="none"/>
                <w:lang w:eastAsia="zh-CN"/>
              </w:rPr>
              <w:t>000</w:t>
            </w:r>
          </w:p>
        </w:tc>
        <w:tc>
          <w:tcPr>
            <w:tcW w:w="1108" w:type="dxa"/>
            <w:tcBorders>
              <w:top w:val="single" w:color="auto" w:sz="4" w:space="0"/>
              <w:left w:val="nil"/>
              <w:bottom w:val="single" w:color="auto" w:sz="4" w:space="0"/>
              <w:right w:val="single" w:color="auto" w:sz="4" w:space="0"/>
            </w:tcBorders>
            <w:noWrap w:val="0"/>
            <w:vAlign w:val="center"/>
          </w:tcPr>
          <w:p>
            <w:pPr>
              <w:jc w:val="center"/>
              <w:rPr>
                <w:rFonts w:hint="eastAsia"/>
                <w:b/>
                <w:bCs/>
                <w:color w:val="auto"/>
                <w:sz w:val="18"/>
                <w:szCs w:val="18"/>
                <w:u w:val="none"/>
                <w:lang w:eastAsia="zh-CN"/>
              </w:rPr>
            </w:pPr>
            <w:r>
              <w:rPr>
                <w:rFonts w:hint="eastAsia"/>
                <w:b/>
                <w:bCs/>
                <w:color w:val="auto"/>
                <w:sz w:val="18"/>
                <w:szCs w:val="18"/>
                <w:u w:val="none"/>
                <w:lang w:eastAsia="zh-CN"/>
              </w:rPr>
              <w:t>水利规划</w:t>
            </w:r>
          </w:p>
          <w:p>
            <w:pPr>
              <w:jc w:val="center"/>
              <w:rPr>
                <w:rFonts w:hint="eastAsia" w:eastAsia="宋体"/>
                <w:b/>
                <w:bCs/>
                <w:color w:val="auto"/>
                <w:sz w:val="18"/>
                <w:szCs w:val="18"/>
                <w:u w:val="none"/>
                <w:lang w:val="en-US" w:eastAsia="zh-CN"/>
              </w:rPr>
            </w:pPr>
            <w:r>
              <w:rPr>
                <w:b/>
                <w:bCs/>
                <w:color w:val="auto"/>
                <w:sz w:val="18"/>
                <w:szCs w:val="18"/>
              </w:rPr>
              <w:t>1</w:t>
            </w:r>
            <w:r>
              <w:rPr>
                <w:rFonts w:hint="eastAsia"/>
                <w:b/>
                <w:bCs/>
                <w:color w:val="auto"/>
                <w:sz w:val="18"/>
                <w:szCs w:val="18"/>
                <w:lang w:val="en-US" w:eastAsia="zh-CN"/>
              </w:rPr>
              <w:t>33</w:t>
            </w:r>
            <w:r>
              <w:rPr>
                <w:b/>
                <w:bCs/>
                <w:color w:val="auto"/>
                <w:sz w:val="18"/>
                <w:szCs w:val="18"/>
              </w:rPr>
              <w:t>00</w:t>
            </w:r>
            <w:r>
              <w:rPr>
                <w:rFonts w:hint="eastAsia"/>
                <w:b/>
                <w:bCs/>
                <w:color w:val="auto"/>
                <w:sz w:val="18"/>
                <w:szCs w:val="18"/>
                <w:lang w:val="en-US" w:eastAsia="zh-CN"/>
              </w:rPr>
              <w:t>3</w:t>
            </w:r>
            <w:r>
              <w:rPr>
                <w:b/>
                <w:bCs/>
                <w:color w:val="auto"/>
                <w:sz w:val="18"/>
                <w:szCs w:val="18"/>
              </w:rPr>
              <w:t>00</w:t>
            </w:r>
            <w:r>
              <w:rPr>
                <w:rFonts w:hint="eastAsia"/>
                <w:b/>
                <w:bCs/>
                <w:color w:val="auto"/>
                <w:sz w:val="18"/>
                <w:szCs w:val="18"/>
                <w:lang w:val="en-US" w:eastAsia="zh-CN"/>
              </w:rPr>
              <w:t>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lang w:val="en-US" w:eastAsia="zh-CN"/>
              </w:rPr>
              <w:t>本级本区域的水利领域专项规划、流域规划和区域规划</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lang w:val="en-US" w:eastAsia="zh-CN"/>
              </w:rPr>
              <w:t>《中华人民共和国水法》《中华人民共和国政府信息公开条例》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color w:val="auto"/>
                <w:sz w:val="18"/>
                <w:szCs w:val="18"/>
                <w:u w:val="none"/>
                <w:lang w:eastAsia="zh-CN"/>
              </w:rPr>
            </w:pPr>
            <w:r>
              <w:rPr>
                <w:rFonts w:hint="eastAsia" w:ascii="Times New Roman" w:hAnsi="Times New Roman" w:eastAsia="宋体" w:cs="Times New Roman"/>
                <w:b/>
                <w:bCs/>
                <w:color w:val="000000"/>
                <w:sz w:val="18"/>
                <w:szCs w:val="18"/>
                <w:lang w:val="en-US" w:eastAsia="zh-CN"/>
              </w:rPr>
              <w:t>县水利局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auto"/>
                <w:sz w:val="18"/>
                <w:szCs w:val="18"/>
                <w:u w:val="none"/>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auto"/>
                <w:kern w:val="0"/>
                <w:sz w:val="18"/>
                <w:szCs w:val="18"/>
                <w:u w:val="none"/>
                <w:lang w:bidi="ar"/>
              </w:rPr>
            </w:pPr>
          </w:p>
          <w:p>
            <w:pPr>
              <w:jc w:val="center"/>
              <w:rPr>
                <w:b/>
                <w:color w:val="auto"/>
                <w:kern w:val="0"/>
                <w:sz w:val="18"/>
                <w:szCs w:val="18"/>
                <w:u w:val="none"/>
                <w:lang w:bidi="ar"/>
              </w:rPr>
            </w:pPr>
          </w:p>
          <w:p>
            <w:pPr>
              <w:jc w:val="center"/>
              <w:rPr>
                <w:b/>
                <w:color w:val="auto"/>
                <w:kern w:val="0"/>
                <w:sz w:val="18"/>
                <w:szCs w:val="18"/>
                <w:u w:val="none"/>
                <w:lang w:bidi="ar"/>
              </w:rPr>
            </w:pPr>
            <w:r>
              <w:rPr>
                <w:b/>
                <w:color w:val="auto"/>
                <w:kern w:val="0"/>
                <w:sz w:val="18"/>
                <w:szCs w:val="18"/>
                <w:u w:val="none"/>
                <w:lang w:bidi="ar"/>
              </w:rPr>
              <w:t>√</w:t>
            </w:r>
          </w:p>
          <w:p>
            <w:pPr>
              <w:jc w:val="center"/>
              <w:rPr>
                <w:b/>
                <w:color w:val="auto"/>
                <w:kern w:val="0"/>
                <w:sz w:val="18"/>
                <w:szCs w:val="18"/>
                <w:lang w:bidi="ar"/>
              </w:rPr>
            </w:pPr>
          </w:p>
          <w:p>
            <w:pPr>
              <w:jc w:val="center"/>
              <w:rPr>
                <w:b/>
                <w:bCs/>
                <w:color w:val="auto"/>
              </w:rPr>
            </w:pPr>
          </w:p>
        </w:tc>
        <w:tc>
          <w:tcPr>
            <w:tcW w:w="415"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r>
              <w:rPr>
                <w:b/>
                <w:color w:val="auto"/>
                <w:kern w:val="0"/>
                <w:sz w:val="18"/>
                <w:szCs w:val="18"/>
                <w:u w:val="none"/>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r>
              <w:rPr>
                <w:b/>
                <w:color w:val="auto"/>
                <w:kern w:val="0"/>
                <w:sz w:val="18"/>
                <w:szCs w:val="18"/>
                <w:u w:val="none"/>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color w:val="auto"/>
                <w:u w:val="none"/>
              </w:rPr>
            </w:pPr>
          </w:p>
        </w:tc>
      </w:tr>
      <w:tr>
        <w:tblPrEx>
          <w:tblCellMar>
            <w:top w:w="0" w:type="dxa"/>
            <w:left w:w="108" w:type="dxa"/>
            <w:bottom w:w="0" w:type="dxa"/>
            <w:right w:w="108" w:type="dxa"/>
          </w:tblCellMar>
        </w:tblPrEx>
        <w:trPr>
          <w:trHeight w:val="1508"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sz w:val="24"/>
                <w:lang w:val="en-US" w:eastAsia="zh-CN"/>
              </w:rPr>
            </w:pPr>
            <w:r>
              <w:rPr>
                <w:b/>
                <w:bCs/>
                <w:sz w:val="24"/>
              </w:rPr>
              <w:t>1</w:t>
            </w:r>
            <w:r>
              <w:rPr>
                <w:rFonts w:hint="eastAsia"/>
                <w:b/>
                <w:bCs/>
                <w:sz w:val="24"/>
                <w:lang w:val="en-US" w:eastAsia="zh-CN"/>
              </w:rPr>
              <w:t>0</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水资源管理保护</w:t>
            </w: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4</w:t>
            </w:r>
            <w:r>
              <w:rPr>
                <w:b/>
                <w:sz w:val="18"/>
                <w:szCs w:val="18"/>
              </w:rPr>
              <w:t>000</w:t>
            </w:r>
          </w:p>
          <w:p>
            <w:pPr>
              <w:jc w:val="center"/>
              <w:rPr>
                <w:rFonts w:hint="eastAsia" w:eastAsia="宋体"/>
                <w:b/>
                <w:bCs/>
                <w:lang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取用水</w:t>
            </w:r>
          </w:p>
          <w:p>
            <w:pPr>
              <w:rPr>
                <w:rFonts w:hint="eastAsia" w:ascii="Times New Roman" w:hAnsi="Times New Roman" w:eastAsia="宋体" w:cs="Times New Roman"/>
                <w:b/>
                <w:bCs/>
                <w:color w:val="000000"/>
                <w:sz w:val="18"/>
                <w:szCs w:val="18"/>
                <w:lang w:val="en-US" w:eastAsia="zh-CN"/>
              </w:rPr>
            </w:pP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4</w:t>
            </w:r>
            <w:r>
              <w:rPr>
                <w:b/>
                <w:sz w:val="18"/>
                <w:szCs w:val="18"/>
              </w:rPr>
              <w:t>00</w:t>
            </w:r>
            <w:r>
              <w:rPr>
                <w:rFonts w:hint="eastAsia"/>
                <w:b/>
                <w:sz w:val="18"/>
                <w:szCs w:val="18"/>
                <w:lang w:val="en-US" w:eastAsia="zh-CN"/>
              </w:rPr>
              <w:t>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重要饮用水水源地名录</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《国务院关于实行最严格水资源管理制度的意见》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18"/>
              </w:rPr>
            </w:pPr>
            <w:r>
              <w:rPr>
                <w:rFonts w:hint="eastAsia" w:ascii="Times New Roman" w:hAnsi="Times New Roman" w:eastAsia="宋体" w:cs="Times New Roman"/>
                <w:b/>
                <w:bCs/>
                <w:color w:val="000000"/>
                <w:sz w:val="18"/>
                <w:szCs w:val="18"/>
                <w:lang w:val="en-US" w:eastAsia="zh-CN"/>
              </w:rPr>
              <w:t>县水利局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000000"/>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890"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sz w:val="24"/>
                <w:lang w:val="en-US" w:eastAsia="zh-CN"/>
              </w:rPr>
            </w:pPr>
            <w:r>
              <w:rPr>
                <w:b/>
                <w:bCs/>
                <w:sz w:val="24"/>
              </w:rPr>
              <w:t>1</w:t>
            </w:r>
            <w:r>
              <w:rPr>
                <w:rFonts w:hint="eastAsia"/>
                <w:b/>
                <w:bCs/>
                <w:sz w:val="24"/>
                <w:lang w:val="en-US" w:eastAsia="zh-CN"/>
              </w:rPr>
              <w:t>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lang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取水许可</w:t>
            </w: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4</w:t>
            </w:r>
            <w:r>
              <w:rPr>
                <w:b/>
                <w:sz w:val="18"/>
                <w:szCs w:val="18"/>
              </w:rPr>
              <w:t>00</w:t>
            </w:r>
            <w:r>
              <w:rPr>
                <w:rFonts w:hint="eastAsia"/>
                <w:b/>
                <w:sz w:val="18"/>
                <w:szCs w:val="18"/>
                <w:lang w:val="en-US" w:eastAsia="zh-CN"/>
              </w:rPr>
              <w:t>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定期发放取水许可证的情况</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《取水许可和水资源费征收管理条例》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b/>
                <w:bCs/>
                <w:sz w:val="18"/>
                <w:szCs w:val="18"/>
              </w:rPr>
            </w:pPr>
            <w:r>
              <w:rPr>
                <w:rFonts w:hint="eastAsia" w:ascii="Times New Roman" w:hAnsi="Times New Roman" w:eastAsia="宋体" w:cs="Times New Roman"/>
                <w:b/>
                <w:bCs/>
                <w:color w:val="000000"/>
                <w:sz w:val="18"/>
                <w:szCs w:val="18"/>
                <w:lang w:val="en-US" w:eastAsia="zh-CN"/>
              </w:rPr>
              <w:t>县水利局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000000"/>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2285"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sz w:val="24"/>
                <w:lang w:val="en-US" w:eastAsia="zh-CN"/>
              </w:rPr>
            </w:pPr>
            <w:r>
              <w:rPr>
                <w:b/>
                <w:bCs/>
                <w:sz w:val="24"/>
              </w:rPr>
              <w:t>1</w:t>
            </w:r>
            <w:r>
              <w:rPr>
                <w:rFonts w:hint="eastAsia"/>
                <w:b/>
                <w:bCs/>
                <w:sz w:val="24"/>
                <w:lang w:val="en-US" w:eastAsia="zh-CN"/>
              </w:rPr>
              <w:t>2</w:t>
            </w:r>
          </w:p>
        </w:tc>
        <w:tc>
          <w:tcPr>
            <w:tcW w:w="1078" w:type="dxa"/>
            <w:tcBorders>
              <w:top w:val="single" w:color="auto" w:sz="4" w:space="0"/>
              <w:left w:val="nil"/>
              <w:bottom w:val="single" w:color="auto" w:sz="4" w:space="0"/>
              <w:right w:val="single" w:color="auto" w:sz="4" w:space="0"/>
            </w:tcBorders>
            <w:noWrap w:val="0"/>
            <w:vAlign w:val="center"/>
          </w:tcPr>
          <w:p>
            <w:pPr>
              <w:jc w:val="center"/>
              <w:rPr>
                <w:b/>
                <w:bCs/>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节约用水</w:t>
            </w: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5</w:t>
            </w:r>
            <w:r>
              <w:rPr>
                <w:b/>
                <w:sz w:val="18"/>
                <w:szCs w:val="18"/>
              </w:rPr>
              <w:t>000</w:t>
            </w:r>
          </w:p>
        </w:tc>
        <w:tc>
          <w:tcPr>
            <w:tcW w:w="1108"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节约用水</w:t>
            </w: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5</w:t>
            </w:r>
            <w:r>
              <w:rPr>
                <w:b/>
                <w:sz w:val="18"/>
                <w:szCs w:val="18"/>
              </w:rPr>
              <w:t>00</w:t>
            </w:r>
            <w:r>
              <w:rPr>
                <w:rFonts w:hint="eastAsia"/>
                <w:b/>
                <w:sz w:val="18"/>
                <w:szCs w:val="18"/>
                <w:lang w:val="en-US" w:eastAsia="zh-CN"/>
              </w:rPr>
              <w:t>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县域节水型社会达标建设情况</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《中华人民共和国政府信息公开条例》《“十四五”节水型社会建设规划》《水利部关于印发县域节水型社会达标建设管理办法的通知》</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r>
              <w:rPr>
                <w:rFonts w:hint="eastAsia" w:ascii="Times New Roman" w:hAnsi="Times New Roman" w:eastAsia="宋体" w:cs="Times New Roman"/>
                <w:b/>
                <w:bCs/>
                <w:color w:val="000000"/>
                <w:sz w:val="18"/>
                <w:szCs w:val="18"/>
                <w:lang w:val="en-US" w:eastAsia="zh-CN"/>
              </w:rPr>
              <w:t>县水利局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jc w:val="both"/>
              <w:rPr>
                <w:rFonts w:hint="eastAsia" w:ascii="Times New Roman" w:hAnsi="Times New Roman" w:eastAsia="宋体" w:cs="Times New Roman"/>
                <w:b/>
                <w:bCs/>
                <w:sz w:val="18"/>
                <w:szCs w:val="18"/>
                <w:u w:val="none"/>
                <w:lang w:val="en-US" w:eastAsia="zh-CN"/>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1973"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水利工程建设</w:t>
            </w: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6</w:t>
            </w:r>
            <w:r>
              <w:rPr>
                <w:b/>
                <w:sz w:val="18"/>
                <w:szCs w:val="18"/>
              </w:rPr>
              <w:t>000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水利工程建设</w:t>
            </w:r>
          </w:p>
          <w:p>
            <w:pPr>
              <w:rPr>
                <w:rFonts w:hint="eastAsia" w:ascii="Times New Roman" w:hAnsi="Times New Roman" w:eastAsia="宋体" w:cs="Times New Roman"/>
                <w:b/>
                <w:bCs/>
                <w:color w:val="000000"/>
                <w:sz w:val="18"/>
                <w:szCs w:val="18"/>
                <w:lang w:val="en-US" w:eastAsia="zh-CN"/>
              </w:rPr>
            </w:pP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6</w:t>
            </w:r>
            <w:r>
              <w:rPr>
                <w:b/>
                <w:sz w:val="18"/>
                <w:szCs w:val="18"/>
              </w:rPr>
              <w:t>00</w:t>
            </w:r>
            <w:r>
              <w:rPr>
                <w:rFonts w:hint="eastAsia"/>
                <w:b/>
                <w:sz w:val="18"/>
                <w:szCs w:val="18"/>
                <w:lang w:val="en-US" w:eastAsia="zh-CN"/>
              </w:rPr>
              <w:t>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水利工程建设项目的实施情况</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《中华人民共和国政府信息公开条例》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r>
              <w:rPr>
                <w:rFonts w:hint="eastAsia" w:ascii="Times New Roman" w:hAnsi="Times New Roman" w:eastAsia="宋体" w:cs="Times New Roman"/>
                <w:b/>
                <w:bCs/>
                <w:color w:val="000000"/>
                <w:sz w:val="18"/>
                <w:szCs w:val="18"/>
                <w:lang w:val="en-US" w:eastAsia="zh-CN"/>
              </w:rPr>
              <w:t>县水利局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jc w:val="center"/>
              <w:rPr>
                <w:rFonts w:hint="eastAsia" w:ascii="Times New Roman" w:hAnsi="Times New Roman" w:eastAsia="宋体" w:cs="Times New Roman"/>
                <w:b/>
                <w:bCs/>
                <w:sz w:val="18"/>
                <w:szCs w:val="18"/>
                <w:u w:val="none"/>
                <w:lang w:val="en-US" w:eastAsia="zh-CN"/>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208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14</w:t>
            </w:r>
          </w:p>
        </w:tc>
        <w:tc>
          <w:tcPr>
            <w:tcW w:w="1078"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运行管理133007000</w:t>
            </w:r>
          </w:p>
        </w:tc>
        <w:tc>
          <w:tcPr>
            <w:tcW w:w="110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rPr>
            </w:pPr>
            <w:r>
              <w:rPr>
                <w:rFonts w:hint="eastAsia" w:ascii="Times New Roman" w:hAnsi="Times New Roman" w:eastAsia="宋体" w:cs="Times New Roman"/>
                <w:b/>
                <w:bCs/>
                <w:color w:val="000000"/>
                <w:sz w:val="18"/>
                <w:szCs w:val="18"/>
                <w:lang w:val="en-US" w:eastAsia="zh-CN"/>
              </w:rPr>
              <w:t>工程信息与运行安全133007001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大中型水库（大坝）水库安全管理责任人、小水库防汛“三个责任人”</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
              </w:rPr>
            </w:pPr>
            <w:r>
              <w:rPr>
                <w:rFonts w:hint="eastAsia" w:ascii="Times New Roman" w:hAnsi="Times New Roman" w:eastAsia="宋体" w:cs="Times New Roman"/>
                <w:b/>
                <w:bCs/>
                <w:color w:val="000000"/>
                <w:sz w:val="18"/>
                <w:szCs w:val="18"/>
                <w:lang w:val="en-US" w:eastAsia="zh-CN"/>
              </w:rPr>
              <w:t>《中华人民共和国政府信息公开条例》《水利部关于开展河湖管理与保护范围划定工作的通知》</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18"/>
              </w:rPr>
            </w:pPr>
            <w:r>
              <w:rPr>
                <w:rFonts w:hint="eastAsia" w:ascii="Times New Roman" w:hAnsi="Times New Roman" w:eastAsia="宋体" w:cs="Times New Roman"/>
                <w:b/>
                <w:bCs/>
                <w:color w:val="000000"/>
                <w:sz w:val="18"/>
                <w:szCs w:val="18"/>
                <w:lang w:val="en-US" w:eastAsia="zh-CN"/>
              </w:rPr>
              <w:t>县水利局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jc w:val="center"/>
              <w:rPr>
                <w:b/>
                <w:bCs/>
                <w:sz w:val="18"/>
                <w:szCs w:val="18"/>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415"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399"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2381"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15</w:t>
            </w:r>
          </w:p>
        </w:tc>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河湖管理</w:t>
            </w:r>
          </w:p>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133008000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河湖长制工作133008001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县、乡级河湖长名单，包括河湖长姓名、担任职务、责任河湖名称和范围、联系电话等</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《关于全面推行河长制的意见》《关于在湖泊实施湖长制的指导意见》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r>
              <w:rPr>
                <w:rFonts w:hint="eastAsia" w:ascii="Times New Roman" w:hAnsi="Times New Roman" w:eastAsia="宋体" w:cs="Times New Roman"/>
                <w:b/>
                <w:bCs/>
                <w:color w:val="000000"/>
                <w:sz w:val="18"/>
                <w:szCs w:val="18"/>
                <w:lang w:val="en-US" w:eastAsia="zh-CN"/>
              </w:rPr>
              <w:t>县水利局</w:t>
            </w:r>
          </w:p>
        </w:tc>
        <w:tc>
          <w:tcPr>
            <w:tcW w:w="27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2066"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16</w:t>
            </w:r>
          </w:p>
        </w:tc>
        <w:tc>
          <w:tcPr>
            <w:tcW w:w="1078" w:type="dxa"/>
            <w:vMerge w:val="continue"/>
            <w:tcBorders>
              <w:top w:val="single" w:color="auto" w:sz="4" w:space="0"/>
              <w:left w:val="nil"/>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p>
        </w:tc>
        <w:tc>
          <w:tcPr>
            <w:tcW w:w="1050" w:type="dxa"/>
            <w:vMerge w:val="continue"/>
            <w:tcBorders>
              <w:top w:val="single" w:color="auto" w:sz="4" w:space="0"/>
              <w:left w:val="nil"/>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p>
        </w:tc>
        <w:tc>
          <w:tcPr>
            <w:tcW w:w="110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水域岸线管理133008002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河湖管理范围</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《中华人民共和国长江保护法》《关于全面推行河长制的意见》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r>
              <w:rPr>
                <w:rFonts w:hint="eastAsia" w:ascii="Times New Roman" w:hAnsi="Times New Roman" w:eastAsia="宋体" w:cs="Times New Roman"/>
                <w:b/>
                <w:bCs/>
                <w:color w:val="000000"/>
                <w:sz w:val="18"/>
                <w:szCs w:val="18"/>
                <w:lang w:val="en-US" w:eastAsia="zh-CN"/>
              </w:rPr>
              <w:t>县水利局</w:t>
            </w:r>
          </w:p>
        </w:tc>
        <w:tc>
          <w:tcPr>
            <w:tcW w:w="2781" w:type="dxa"/>
            <w:vMerge w:val="continue"/>
            <w:tcBorders>
              <w:top w:val="single" w:color="auto" w:sz="4" w:space="0"/>
              <w:left w:val="single" w:color="auto" w:sz="4" w:space="0"/>
              <w:right w:val="single" w:color="auto" w:sz="4" w:space="0"/>
            </w:tcBorders>
            <w:noWrap w:val="0"/>
            <w:vAlign w:val="center"/>
          </w:tcPr>
          <w:p>
            <w:pPr>
              <w:rPr>
                <w:b/>
                <w:bCs/>
                <w:sz w:val="18"/>
                <w:szCs w:val="18"/>
              </w:rPr>
            </w:pP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kern w:val="2"/>
                <w:sz w:val="21"/>
                <w:szCs w:val="24"/>
                <w:lang w:val="en-US" w:eastAsia="zh-CN" w:bidi="ar-SA"/>
              </w:rPr>
            </w:pPr>
          </w:p>
        </w:tc>
      </w:tr>
      <w:tr>
        <w:tblPrEx>
          <w:tblCellMar>
            <w:top w:w="0" w:type="dxa"/>
            <w:left w:w="108" w:type="dxa"/>
            <w:bottom w:w="0" w:type="dxa"/>
            <w:right w:w="108" w:type="dxa"/>
          </w:tblCellMar>
        </w:tblPrEx>
        <w:trPr>
          <w:trHeight w:val="72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17</w:t>
            </w:r>
          </w:p>
        </w:tc>
        <w:tc>
          <w:tcPr>
            <w:tcW w:w="1078"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水土保持133009000</w:t>
            </w:r>
          </w:p>
        </w:tc>
        <w:tc>
          <w:tcPr>
            <w:tcW w:w="110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水土流失防治及监督管理133009001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水土流失重点预防区和重点治理区</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《中华人民共和国水土保持法》</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sz w:val="18"/>
                <w:szCs w:val="18"/>
                <w:lang w:eastAsia="zh-CN"/>
              </w:rPr>
            </w:pPr>
            <w:r>
              <w:rPr>
                <w:rFonts w:hint="eastAsia" w:ascii="Times New Roman" w:hAnsi="Times New Roman" w:eastAsia="宋体" w:cs="Times New Roman"/>
                <w:b/>
                <w:bCs/>
                <w:color w:val="000000"/>
                <w:sz w:val="18"/>
                <w:szCs w:val="18"/>
                <w:lang w:val="en-US" w:eastAsia="zh-CN"/>
              </w:rPr>
              <w:t>县水利局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kern w:val="2"/>
                <w:sz w:val="21"/>
                <w:szCs w:val="24"/>
                <w:lang w:val="en-US" w:eastAsia="zh-CN" w:bidi="ar-SA"/>
              </w:rPr>
            </w:pPr>
          </w:p>
        </w:tc>
      </w:tr>
      <w:tr>
        <w:tblPrEx>
          <w:tblCellMar>
            <w:top w:w="0" w:type="dxa"/>
            <w:left w:w="108" w:type="dxa"/>
            <w:bottom w:w="0" w:type="dxa"/>
            <w:right w:w="108" w:type="dxa"/>
          </w:tblCellMar>
        </w:tblPrEx>
        <w:trPr>
          <w:trHeight w:val="182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eastAsia="宋体"/>
                <w:b/>
                <w:bCs/>
                <w:sz w:val="24"/>
                <w:lang w:val="en-US" w:eastAsia="zh-CN"/>
              </w:rPr>
              <w:t>18</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color w:val="000000"/>
                <w:kern w:val="0"/>
                <w:sz w:val="18"/>
                <w:szCs w:val="18"/>
                <w:lang w:val="en-US" w:eastAsia="zh-CN" w:bidi="ar"/>
              </w:rPr>
            </w:pPr>
            <w:r>
              <w:rPr>
                <w:rFonts w:hint="eastAsia" w:ascii="Times New Roman" w:hAnsi="Times New Roman" w:eastAsia="宋体" w:cs="Times New Roman"/>
                <w:b/>
                <w:color w:val="000000"/>
                <w:kern w:val="0"/>
                <w:sz w:val="18"/>
                <w:szCs w:val="18"/>
                <w:lang w:val="en-US" w:eastAsia="zh-CN" w:bidi="ar"/>
              </w:rPr>
              <w:t>农村水利水电133010000</w:t>
            </w:r>
          </w:p>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color w:val="000000"/>
                <w:kern w:val="0"/>
                <w:sz w:val="18"/>
                <w:szCs w:val="18"/>
                <w:lang w:val="en-US" w:eastAsia="zh-CN" w:bidi="ar"/>
              </w:rPr>
            </w:pPr>
            <w:r>
              <w:rPr>
                <w:rFonts w:hint="eastAsia" w:ascii="Times New Roman" w:hAnsi="Times New Roman" w:eastAsia="宋体" w:cs="Times New Roman"/>
                <w:b/>
                <w:bCs/>
                <w:sz w:val="18"/>
                <w:szCs w:val="18"/>
                <w:lang w:val="en-US" w:eastAsia="zh-CN"/>
              </w:rPr>
              <w:t>农村供水工程133010002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color w:val="000000"/>
                <w:kern w:val="0"/>
                <w:sz w:val="18"/>
                <w:szCs w:val="18"/>
                <w:lang w:val="en-US" w:eastAsia="zh-CN" w:bidi="ar"/>
              </w:rPr>
            </w:pPr>
            <w:r>
              <w:rPr>
                <w:rFonts w:hint="eastAsia" w:ascii="Times New Roman" w:hAnsi="Times New Roman" w:eastAsia="宋体" w:cs="Times New Roman"/>
                <w:b/>
                <w:bCs/>
                <w:sz w:val="18"/>
                <w:szCs w:val="18"/>
                <w:lang w:val="en-US" w:eastAsia="zh-CN"/>
              </w:rPr>
              <w:t>千人以上供水单位责任人、供水服务电话</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color w:val="000000"/>
                <w:kern w:val="0"/>
                <w:sz w:val="18"/>
                <w:szCs w:val="18"/>
                <w:lang w:val="en-US" w:eastAsia="zh-CN" w:bidi="ar"/>
              </w:rPr>
            </w:pPr>
            <w:r>
              <w:rPr>
                <w:rFonts w:hint="eastAsia" w:ascii="Times New Roman" w:hAnsi="Times New Roman" w:eastAsia="宋体" w:cs="Times New Roman"/>
                <w:b/>
                <w:bCs/>
                <w:sz w:val="18"/>
                <w:szCs w:val="18"/>
                <w:lang w:val="en-US" w:eastAsia="zh-CN"/>
              </w:rPr>
              <w:t>《水利部关于建立农村饮水安全管理责任体系的通知》</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color w:val="000000"/>
                <w:kern w:val="0"/>
                <w:sz w:val="18"/>
                <w:szCs w:val="18"/>
                <w:lang w:val="en-US" w:eastAsia="zh-CN" w:bidi="ar"/>
              </w:rPr>
            </w:pPr>
            <w:r>
              <w:rPr>
                <w:rFonts w:hint="eastAsia" w:ascii="Times New Roman" w:hAnsi="Times New Roman" w:eastAsia="宋体" w:cs="Times New Roman"/>
                <w:b/>
                <w:bCs/>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rFonts w:hint="eastAsia"/>
                <w:b/>
                <w:color w:val="000000"/>
                <w:kern w:val="0"/>
                <w:sz w:val="18"/>
                <w:szCs w:val="18"/>
                <w:lang w:val="en-US" w:eastAsia="zh-CN" w:bidi="ar"/>
              </w:rPr>
            </w:pPr>
            <w:r>
              <w:rPr>
                <w:rFonts w:hint="eastAsia" w:ascii="Times New Roman" w:hAnsi="Times New Roman" w:eastAsia="宋体" w:cs="Times New Roman"/>
                <w:b/>
                <w:bCs/>
                <w:color w:val="000000"/>
                <w:sz w:val="18"/>
                <w:szCs w:val="18"/>
                <w:lang w:val="en-US" w:eastAsia="zh-CN"/>
              </w:rPr>
              <w:t>县水利局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kern w:val="2"/>
                <w:sz w:val="21"/>
                <w:szCs w:val="24"/>
                <w:lang w:val="en-US" w:eastAsia="zh-CN" w:bidi="ar-SA"/>
              </w:rPr>
            </w:pPr>
          </w:p>
        </w:tc>
      </w:tr>
      <w:tr>
        <w:tblPrEx>
          <w:tblCellMar>
            <w:top w:w="0" w:type="dxa"/>
            <w:left w:w="108" w:type="dxa"/>
            <w:bottom w:w="0" w:type="dxa"/>
            <w:right w:w="108" w:type="dxa"/>
          </w:tblCellMar>
        </w:tblPrEx>
        <w:trPr>
          <w:trHeight w:val="2414"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19</w:t>
            </w:r>
          </w:p>
        </w:tc>
        <w:tc>
          <w:tcPr>
            <w:tcW w:w="1078" w:type="dxa"/>
            <w:vMerge w:val="restart"/>
            <w:tcBorders>
              <w:top w:val="single" w:color="auto" w:sz="4" w:space="0"/>
              <w:left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监督管理133011000</w:t>
            </w:r>
          </w:p>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水利安全生产监督133011001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安全生产举报电话、信箱或电子邮件地址等网络举报平台，违法行为情节严重的水利生产经营单位及其有关从业人员，安全生产事故应急预案</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《中华人民共和国安全生产法》《中华人民共和国政府信息公开条例》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w:t>
            </w:r>
          </w:p>
        </w:tc>
        <w:tc>
          <w:tcPr>
            <w:tcW w:w="1027" w:type="dxa"/>
            <w:vMerge w:val="restart"/>
            <w:tcBorders>
              <w:top w:val="single" w:color="auto" w:sz="4" w:space="0"/>
              <w:left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color w:val="000000"/>
                <w:sz w:val="18"/>
                <w:szCs w:val="18"/>
                <w:lang w:val="en-US" w:eastAsia="zh-CN"/>
              </w:rPr>
              <w:t>县水利局</w:t>
            </w:r>
          </w:p>
        </w:tc>
        <w:tc>
          <w:tcPr>
            <w:tcW w:w="2781" w:type="dxa"/>
            <w:vMerge w:val="restart"/>
            <w:tcBorders>
              <w:top w:val="single" w:color="auto" w:sz="4" w:space="0"/>
              <w:left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1880"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20</w:t>
            </w:r>
          </w:p>
        </w:tc>
        <w:tc>
          <w:tcPr>
            <w:tcW w:w="1078" w:type="dxa"/>
            <w:vMerge w:val="continue"/>
            <w:tcBorders>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p>
        </w:tc>
        <w:tc>
          <w:tcPr>
            <w:tcW w:w="1050" w:type="dxa"/>
            <w:vMerge w:val="continue"/>
            <w:tcBorders>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“双随机一公开”监管133011002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随机抽查事项清单，抽查情况及查处结果</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《国务院办公厅关于推广随机抽查规范事中事后监管的通知》《水利部办公厅关于印发推行“双随机一公开”监管工作方案的通知》</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w:t>
            </w:r>
          </w:p>
        </w:tc>
        <w:tc>
          <w:tcPr>
            <w:tcW w:w="1027" w:type="dxa"/>
            <w:vMerge w:val="continue"/>
            <w:tcBorders>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p>
        </w:tc>
        <w:tc>
          <w:tcPr>
            <w:tcW w:w="278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u w:val="none"/>
                <w:lang w:val="en-US" w:eastAsia="zh-CN" w:bidi="ar-SA"/>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133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21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szCs w:val="18"/>
                <w:lang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p>
            <w:pPr>
              <w:jc w:val="center"/>
              <w:rPr>
                <w:rFonts w:hint="eastAsia" w:ascii="宋体" w:hAnsi="宋体" w:eastAsia="宋体" w:cs="宋体"/>
                <w:i w:val="0"/>
                <w:color w:val="000000"/>
                <w:kern w:val="0"/>
                <w:sz w:val="22"/>
                <w:szCs w:val="22"/>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水旱灾害防御133012000</w:t>
            </w:r>
          </w:p>
          <w:p>
            <w:pPr>
              <w:rPr>
                <w:rFonts w:hint="eastAsia" w:ascii="Times New Roman" w:hAnsi="Times New Roman" w:eastAsia="宋体" w:cs="Times New Roman"/>
                <w:b/>
                <w:bCs/>
                <w:sz w:val="18"/>
                <w:szCs w:val="18"/>
                <w:lang w:val="en-US" w:eastAsia="zh-CN"/>
              </w:rPr>
            </w:pPr>
          </w:p>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水旱灾害防御133012001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防洪规划保留区，洪水预警信息、干旱预警信息</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《中华人民共和国防洪法》《水利部水旱灾害防御应急响应工作规程》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信息形成或者变更之日起20个工作日内，或按照行业有关规定</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r>
              <w:rPr>
                <w:rFonts w:hint="eastAsia" w:ascii="Times New Roman" w:hAnsi="Times New Roman" w:eastAsia="宋体" w:cs="Times New Roman"/>
                <w:b/>
                <w:bCs/>
                <w:color w:val="000000"/>
                <w:sz w:val="18"/>
                <w:szCs w:val="18"/>
                <w:lang w:val="en-US" w:eastAsia="zh-CN"/>
              </w:rPr>
              <w:t>县水利局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3126"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22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水利科技133014000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水利科技133014001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面向基层需求的成熟适用水利科技成果信息及推广情况，水利科普工作开展情况</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《中华人民共和国促进科技成果转化法》《关于新时代进一步加强科学技术普及工作的意见》《水利部、共青团中央、 中国科协关于加强水利科普工作的指导意见》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color w:val="000000"/>
                <w:sz w:val="18"/>
                <w:szCs w:val="18"/>
                <w:lang w:val="en-US" w:eastAsia="zh-CN"/>
              </w:rPr>
              <w:t>县水利局</w:t>
            </w:r>
            <w:bookmarkStart w:id="0" w:name="_GoBack"/>
            <w:bookmarkEnd w:id="0"/>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kern w:val="2"/>
                <w:sz w:val="21"/>
                <w:szCs w:val="24"/>
                <w:lang w:val="en-US" w:eastAsia="zh-CN" w:bidi="ar-SA"/>
              </w:rPr>
            </w:pPr>
          </w:p>
        </w:tc>
      </w:tr>
    </w:tbl>
    <w:p>
      <w:pPr>
        <w:rPr>
          <w:rFonts w:hint="eastAsia"/>
        </w:rPr>
      </w:pPr>
    </w:p>
    <w:sectPr>
      <w:footerReference r:id="rId3" w:type="default"/>
      <w:pgSz w:w="16838" w:h="11906" w:orient="landscape"/>
      <w:pgMar w:top="1123"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OGRlMWUwNTkwOTEyY2Y0NDE1NTBhYzBhN2VjMDEifQ=="/>
  </w:docVars>
  <w:rsids>
    <w:rsidRoot w:val="00000000"/>
    <w:rsid w:val="0ECE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2022-12-13T09:12:31Z</dcterms:created>
  <dc:creator>admin</dc:creator>
  <cp:lastModifiedBy>李贝贝</cp:lastModifiedBy>
  <dcterms:modified xsi:type="dcterms:W3CDTF">2022-12-13T09:25:20Z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36B8264201CD49B1956BF5DE8403407D</vt:lpwstr>
  </property>
</Properties>
</file>