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both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关于落实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脱贫劳动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者跨省就业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交通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补助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政策的通知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各镇（园区）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为进一步促进我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脱贫劳动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（含监测帮扶对象，下同）转移就业、稳定就业，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根据省人社厅、省发改委、省财政厅、省农业农村厅、省乡村振兴局《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关于做好2022年脱贫人口稳岗就业工作的通知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》（皖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）文件规定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，结合《市人力资源和社会保障局、市财政局&lt;关于进一步落实疫情期间稳定就业政策的通知&gt;》（宿人社秘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文件精神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，现就落实脱贫劳动者跨省就业交通补助有关事项通知如下：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一、补助对象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砀山县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外出安徽省外转移就业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脱贫劳动者、监测帮扶对象（16-59周岁），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根据县乡村振兴局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全国防返贫监测信息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系统内人员进行动态调整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1.距户籍所在地200公里范围内的，按每人200元标准发放交通补助。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2.距户籍所在地200公里以上的（含200公里），按每人300元标准发放交通补助。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三、实施步骤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0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1.摸排申报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。以镇（园区）为单位，组织人员摸排脱贫劳动者外出务工就业人数，核准脱贫劳动者外出就业地点、就业单位、外出距离、联系方式等基本情况。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简化申报材料，脱贫劳动者个人提供务工证明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劳动合同、劳务协议、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银行发放工资流水、社保信息截图、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公司用工证明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等任意一项即可）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，脱贫劳动者填写《砀山县脱贫劳动者跨省就业交通补助申请表》（附件1），行政村收集齐后，以行政村为单位，填报《砀山县脱贫劳动者跨省就业交通补助花名册》（附件2），并在本村公示栏或显著位置公示10天，公示模板见（附件3），经公示后无异议的，提交所在镇（园区）政府审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2.组织审核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。对于审核通过的，以镇（园区）为单位，将《砀山县脱贫劳动者跨省就业交通补助申请表》（附件1）、《砀山县脱贫劳动者跨省就业交通补助花名册》（附件2）和其他相关材料一并报县人社局复核。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0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3.审批拨款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。县人社局对人员进行复核，复核合格的，履行审批手续。对于审批通过的，按规定由财政部门将补助资金拨付至脱贫劳动者个人账户。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四、资金保障</w:t>
      </w:r>
    </w:p>
    <w:p>
      <w:pPr>
        <w:pStyle w:val="3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脱贫劳动者跨省就业交通补助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所需资金从财政衔接推进乡村振兴补助资金列支。</w:t>
      </w:r>
    </w:p>
    <w:p>
      <w:pPr>
        <w:pStyle w:val="3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五、工作要求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0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加大宣传，精准摸排。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各镇（园区）要高度重视，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加大政策宣传力度，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提高工作效率，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坚持“谁摸排、谁签字、谁负责”原则，做到村不漏户、户不漏人，信息准确，距离准确，人数准确。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压实责任，严肃纪律。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跨省就业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通补助是鼓励脱贫劳动者转移、实现稳定就业的惠民政策，事关脱贫攻坚成效巩固。各镇（园区）要压实责任，扎实推进，落实政策，取得实效。严禁弄虚作假、优亲厚友、虚报冒领、套取资金行为，一经发现查实，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3.联系方式。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联系电话：0557-8022039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266" w:leftChars="304" w:hanging="1628" w:hangingChars="509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联系邮箱：dsxjyg@163.com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附件1：砀山县脱贫劳动者跨省就业交通补助申请表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附件2：砀山县脱贫劳动者跨省就业交通补助花名册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附件3：脱贫劳动者跨省就业交通补助公示（模板）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19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砀山县人力资源和社会保障局       砀山县乡村振兴局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砀山县财政局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2022年5月27日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ODE1ZTY2Y2VjMDY4NTkxZmQ5Yjc1YzhhZjJkMzUifQ=="/>
  </w:docVars>
  <w:rsids>
    <w:rsidRoot w:val="735F4483"/>
    <w:rsid w:val="735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Body Text First Indent"/>
    <w:basedOn w:val="2"/>
    <w:qFormat/>
    <w:uiPriority w:val="0"/>
    <w:pPr>
      <w:spacing w:before="120" w:after="240"/>
      <w:ind w:leftChars="100" w:firstLine="420" w:firstLineChars="1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2022-11-24T09:08:00Z</dcterms:created>
  <dc:creator>辰南司礼</dc:creator>
  <cp:lastModifiedBy>辰南司礼</cp:lastModifiedBy>
  <dcterms:modified xsi:type="dcterms:W3CDTF">2022-11-24T09:09:36Z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7FBEECADB4214F7386919FF246359378</vt:lpwstr>
  </property>
</Properties>
</file>