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5AB2">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1746E969">
      <w:pPr>
        <w:spacing w:line="360" w:lineRule="auto"/>
        <w:jc w:val="center"/>
        <w:rPr>
          <w:rFonts w:ascii="仿宋_GB2312" w:eastAsia="仿宋_GB2312"/>
          <w:sz w:val="32"/>
          <w:szCs w:val="32"/>
        </w:rPr>
      </w:pPr>
    </w:p>
    <w:p w14:paraId="26A4578E">
      <w:pPr>
        <w:spacing w:line="360" w:lineRule="auto"/>
        <w:jc w:val="center"/>
        <w:rPr>
          <w:rFonts w:ascii="仿宋_GB2312" w:eastAsia="仿宋_GB2312"/>
          <w:sz w:val="32"/>
          <w:szCs w:val="32"/>
        </w:rPr>
      </w:pPr>
    </w:p>
    <w:p w14:paraId="496476C3">
      <w:pPr>
        <w:spacing w:line="360" w:lineRule="auto"/>
        <w:jc w:val="center"/>
        <w:rPr>
          <w:rFonts w:ascii="仿宋_GB2312" w:eastAsia="仿宋_GB2312"/>
          <w:sz w:val="32"/>
          <w:szCs w:val="32"/>
        </w:rPr>
      </w:pPr>
    </w:p>
    <w:p w14:paraId="27DA98B0">
      <w:pPr>
        <w:spacing w:line="360" w:lineRule="auto"/>
        <w:jc w:val="center"/>
        <w:rPr>
          <w:rFonts w:ascii="仿宋_GB2312" w:eastAsia="仿宋_GB2312"/>
          <w:sz w:val="32"/>
          <w:szCs w:val="32"/>
        </w:rPr>
      </w:pPr>
    </w:p>
    <w:p w14:paraId="54B7E701">
      <w:pPr>
        <w:spacing w:line="360" w:lineRule="auto"/>
        <w:ind w:firstLine="2560" w:firstLineChars="800"/>
        <w:rPr>
          <w:rFonts w:ascii="仿宋_GB2312" w:eastAsia="仿宋_GB2312"/>
          <w:sz w:val="32"/>
          <w:szCs w:val="32"/>
        </w:rPr>
      </w:pPr>
      <w:r>
        <w:rPr>
          <w:rFonts w:hint="eastAsia" w:ascii="仿宋_GB2312" w:eastAsia="仿宋_GB2312"/>
          <w:sz w:val="32"/>
          <w:szCs w:val="32"/>
        </w:rPr>
        <w:t>砀环建函〔20</w:t>
      </w:r>
      <w:r>
        <w:rPr>
          <w:rFonts w:ascii="仿宋_GB2312" w:eastAsia="仿宋_GB2312"/>
          <w:sz w:val="32"/>
          <w:szCs w:val="32"/>
        </w:rPr>
        <w:t>2</w:t>
      </w:r>
      <w:r>
        <w:rPr>
          <w:rFonts w:hint="eastAsia" w:ascii="仿宋_GB2312" w:eastAsia="仿宋_GB2312"/>
          <w:sz w:val="32"/>
          <w:szCs w:val="32"/>
        </w:rPr>
        <w:t>6〕</w:t>
      </w:r>
      <w:r>
        <w:rPr>
          <w:rFonts w:hint="eastAsia" w:ascii="仿宋_GB2312" w:eastAsia="仿宋_GB2312"/>
          <w:sz w:val="32"/>
          <w:szCs w:val="32"/>
          <w:lang w:val="en-US" w:eastAsia="zh-CN"/>
        </w:rPr>
        <w:t>15</w:t>
      </w:r>
      <w:r>
        <w:rPr>
          <w:rFonts w:hint="eastAsia" w:ascii="仿宋_GB2312" w:eastAsia="仿宋_GB2312"/>
          <w:sz w:val="32"/>
          <w:szCs w:val="32"/>
        </w:rPr>
        <w:t>号</w:t>
      </w:r>
    </w:p>
    <w:p w14:paraId="5E9C32FB">
      <w:pPr>
        <w:spacing w:line="400" w:lineRule="exact"/>
        <w:jc w:val="center"/>
        <w:rPr>
          <w:rFonts w:hint="eastAsia" w:ascii="宋体" w:hAnsi="宋体"/>
          <w:b/>
          <w:sz w:val="44"/>
          <w:szCs w:val="44"/>
        </w:rPr>
      </w:pPr>
    </w:p>
    <w:p w14:paraId="31AA66B4">
      <w:pPr>
        <w:widowControl/>
        <w:spacing w:line="360" w:lineRule="auto"/>
        <w:jc w:val="center"/>
        <w:rPr>
          <w:rFonts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关于得壹能源科技（宿州）有限责任公司</w:t>
      </w:r>
    </w:p>
    <w:p w14:paraId="4E280F15">
      <w:pPr>
        <w:widowControl/>
        <w:spacing w:line="360" w:lineRule="auto"/>
        <w:jc w:val="center"/>
        <w:rPr>
          <w:rFonts w:hint="eastAsia"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年产26GWH锂离子电池生产项目环境影响报告表审批意见的函</w:t>
      </w:r>
    </w:p>
    <w:p w14:paraId="1B004B59">
      <w:pPr>
        <w:widowControl/>
        <w:spacing w:line="360" w:lineRule="auto"/>
        <w:jc w:val="left"/>
        <w:rPr>
          <w:rFonts w:hint="eastAsia" w:ascii="方正小标宋简体" w:hAnsi="方正小标宋简体" w:eastAsia="方正小标宋简体" w:cs="方正小标宋简体"/>
          <w:bCs/>
          <w:sz w:val="44"/>
          <w:szCs w:val="44"/>
        </w:rPr>
      </w:pPr>
    </w:p>
    <w:p w14:paraId="315155B3">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sz w:val="32"/>
          <w:szCs w:val="32"/>
        </w:rPr>
      </w:pPr>
      <w:r>
        <w:rPr>
          <w:rFonts w:hint="eastAsia" w:ascii="仿宋" w:hAnsi="仿宋" w:eastAsia="仿宋" w:cs="仿宋"/>
          <w:sz w:val="32"/>
          <w:szCs w:val="32"/>
        </w:rPr>
        <w:t>得壹能源科技（宿州）有限责任公司</w:t>
      </w:r>
      <w:r>
        <w:rPr>
          <w:rFonts w:hint="eastAsia" w:ascii="仿宋" w:hAnsi="仿宋" w:eastAsia="仿宋"/>
          <w:sz w:val="32"/>
          <w:szCs w:val="32"/>
        </w:rPr>
        <w:t>：</w:t>
      </w:r>
    </w:p>
    <w:p w14:paraId="5CC29873">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sz w:val="32"/>
          <w:szCs w:val="32"/>
        </w:rPr>
        <w:t>报来</w:t>
      </w:r>
      <w:r>
        <w:rPr>
          <w:rFonts w:hint="eastAsia" w:ascii="仿宋" w:hAnsi="仿宋" w:eastAsia="仿宋" w:cs="仿宋"/>
          <w:sz w:val="32"/>
          <w:szCs w:val="32"/>
        </w:rPr>
        <w:t>《得壹能源科技（宿州）有限责任公司年产26GWH锂离子电池生产项目</w:t>
      </w:r>
      <w:r>
        <w:rPr>
          <w:rFonts w:hint="eastAsia" w:ascii="仿宋_GB2312" w:eastAsia="仿宋_GB2312"/>
          <w:sz w:val="32"/>
          <w:szCs w:val="32"/>
        </w:rPr>
        <w:t>环境影响报告表</w:t>
      </w:r>
      <w:r>
        <w:rPr>
          <w:rFonts w:hint="eastAsia" w:ascii="仿宋" w:hAnsi="仿宋" w:eastAsia="仿宋"/>
          <w:sz w:val="32"/>
          <w:szCs w:val="32"/>
        </w:rPr>
        <w:t>》（以下简称《报告表》）悉。经研究，现批复如下：</w:t>
      </w:r>
    </w:p>
    <w:p w14:paraId="355C6D7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sz w:val="32"/>
          <w:szCs w:val="32"/>
          <w:highlight w:val="none"/>
        </w:rPr>
      </w:pPr>
      <w:r>
        <w:rPr>
          <w:rFonts w:hint="eastAsia" w:ascii="仿宋" w:hAnsi="仿宋" w:eastAsia="仿宋"/>
          <w:sz w:val="32"/>
          <w:szCs w:val="32"/>
        </w:rPr>
        <w:t xml:space="preserve">    一、原则同意《报告表》评价结论。</w:t>
      </w:r>
      <w:r>
        <w:rPr>
          <w:rFonts w:hint="eastAsia" w:ascii="仿宋" w:hAnsi="仿宋" w:eastAsia="仿宋" w:cs="仿宋"/>
          <w:sz w:val="32"/>
          <w:szCs w:val="32"/>
          <w:highlight w:val="none"/>
        </w:rPr>
        <w:t>得壹能源科技（宿州）有限责任公司</w:t>
      </w:r>
      <w:r>
        <w:rPr>
          <w:rFonts w:hint="eastAsia" w:ascii="仿宋" w:hAnsi="仿宋" w:eastAsia="仿宋"/>
          <w:sz w:val="32"/>
          <w:szCs w:val="32"/>
          <w:highlight w:val="none"/>
        </w:rPr>
        <w:t>拟投资</w:t>
      </w:r>
      <w:r>
        <w:rPr>
          <w:rFonts w:ascii="仿宋" w:hAnsi="仿宋" w:eastAsia="仿宋"/>
          <w:sz w:val="32"/>
          <w:szCs w:val="32"/>
          <w:highlight w:val="none"/>
        </w:rPr>
        <w:t>652600</w:t>
      </w:r>
      <w:r>
        <w:rPr>
          <w:rFonts w:hint="eastAsia" w:ascii="仿宋" w:hAnsi="仿宋" w:eastAsia="仿宋"/>
          <w:sz w:val="32"/>
          <w:szCs w:val="32"/>
          <w:highlight w:val="none"/>
        </w:rPr>
        <w:t>万元在安徽省宿州市砀山经济开发区奇瑞大道北侧、迈瑞大道西侧</w:t>
      </w:r>
      <w:r>
        <w:rPr>
          <w:rFonts w:ascii="仿宋" w:hAnsi="仿宋" w:eastAsia="仿宋"/>
          <w:sz w:val="32"/>
          <w:szCs w:val="32"/>
          <w:highlight w:val="none"/>
        </w:rPr>
        <w:t>建设</w:t>
      </w:r>
      <w:r>
        <w:rPr>
          <w:rFonts w:hint="eastAsia" w:ascii="仿宋" w:hAnsi="仿宋" w:eastAsia="仿宋" w:cs="仿宋"/>
          <w:sz w:val="32"/>
          <w:szCs w:val="32"/>
          <w:highlight w:val="none"/>
        </w:rPr>
        <w:t>年产26GWH锂离子电池生产项目</w:t>
      </w:r>
      <w:r>
        <w:rPr>
          <w:rFonts w:hint="eastAsia" w:ascii="仿宋" w:hAnsi="仿宋" w:eastAsia="仿宋"/>
          <w:sz w:val="32"/>
          <w:szCs w:val="32"/>
          <w:highlight w:val="none"/>
        </w:rPr>
        <w:t>，项目总占地面积约492亩，主要建设内容为数字化智能化电芯工厂、全自动高效成品库、现代化检测中心、综合办公区、生活区及</w:t>
      </w:r>
      <w:r>
        <w:rPr>
          <w:rFonts w:hint="eastAsia" w:ascii="仿宋" w:hAnsi="仿宋" w:eastAsia="仿宋" w:cs="仿宋"/>
          <w:sz w:val="32"/>
          <w:szCs w:val="32"/>
          <w:highlight w:val="none"/>
        </w:rPr>
        <w:t>配套的消防、变供电、给排水、环卫、绿化、道路等设施</w:t>
      </w:r>
      <w:r>
        <w:rPr>
          <w:rFonts w:hint="eastAsia" w:ascii="仿宋" w:hAnsi="仿宋" w:eastAsia="仿宋"/>
          <w:sz w:val="32"/>
          <w:szCs w:val="32"/>
          <w:highlight w:val="none"/>
        </w:rPr>
        <w:t>。其中生产设施主要包括建设规模及内容电芯车间，包膜出货车间，装配库，电极原材料库，固废库，危废库，电解液库，备品备件库，NMP罐区，NMP泵房，NMP精馏，储能电站，污水处理站，动力站房，材料检测中心，产品检测中心，主大门，次大门，食堂，宿舍楼，停车场等</w:t>
      </w:r>
      <w:r>
        <w:rPr>
          <w:rFonts w:hint="eastAsia" w:ascii="仿宋" w:hAnsi="仿宋" w:eastAsia="仿宋"/>
          <w:sz w:val="32"/>
          <w:szCs w:val="32"/>
          <w:highlight w:val="none"/>
          <w:lang w:eastAsia="zh-CN"/>
        </w:rPr>
        <w:t>。</w:t>
      </w:r>
      <w:r>
        <w:rPr>
          <w:rFonts w:hint="eastAsia" w:ascii="仿宋" w:hAnsi="仿宋" w:eastAsia="仿宋"/>
          <w:sz w:val="32"/>
          <w:szCs w:val="32"/>
          <w:highlight w:val="none"/>
        </w:rPr>
        <w:t>项目已由砀山县发展和改革委以砀开发备案〔2025〕54号文件予以批复，从生态环境保护角度，同意该项目按《报告表》中所列工程性质、地点、内容、规模和配套的污染防治措施等进行建设。</w:t>
      </w:r>
    </w:p>
    <w:p w14:paraId="7A3A709D">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二、建设单位必须严格执行环境保护“三同时”制度，认真落实《报告表》提出的各项污染防治措施，确保相关的环境保护设施与主体工程同时设计、同时施工、同时投入使用。</w:t>
      </w:r>
    </w:p>
    <w:p w14:paraId="0108258A">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三、项目应重点注意以下几点：</w:t>
      </w:r>
    </w:p>
    <w:p w14:paraId="1BCDDB4A">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1、认真落实《报告表》提出的各项废气治理措施，加强工艺废气的收集和处理，减少无组织废气排放，并规范设置各类排气筒；项目大气污染物排放总量不得突破市生态环境局下达的污染物总量控制指标。</w:t>
      </w:r>
    </w:p>
    <w:p w14:paraId="3C10729C">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2、严格落实水污染防治措施，按照“清污分流、雨污分流、污废分流、分质处理”原则，完善厂区排水系统，生产废水须全部有效收集并在厂区污水处理站内进行有效处理后，排入砀山县工业污水处理厂进行统一处理。</w:t>
      </w:r>
    </w:p>
    <w:p w14:paraId="508BF53A">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sz w:val="32"/>
          <w:szCs w:val="32"/>
          <w:highlight w:val="none"/>
        </w:rPr>
        <w:t>3、落实项目土壤与地下水污染防治措施，按照“源头控制、分区防治、污染监控、应急响应”相结合的原则采取相应防渗措施，落实监测计划，加强日</w:t>
      </w:r>
      <w:bookmarkStart w:id="1" w:name="_GoBack"/>
      <w:bookmarkEnd w:id="1"/>
      <w:r>
        <w:rPr>
          <w:rFonts w:hint="eastAsia" w:ascii="仿宋" w:hAnsi="仿宋" w:eastAsia="仿宋"/>
          <w:sz w:val="32"/>
          <w:szCs w:val="32"/>
          <w:highlight w:val="none"/>
        </w:rPr>
        <w:t>常环境管理，防止项目对地下水和土壤造成污染。</w:t>
      </w:r>
    </w:p>
    <w:p w14:paraId="0CADF322">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4、按照“无害化、减量化、资源化”的原则，落实分类收集、储存、运输及处置措施，固废暂存场所应按规范建设，做好防扬散、防流失、防渗漏等相关措施，避免产生二次污染，其中危险废物要切实做好申报登记、管理计划、转移联单等相关管理工作。</w:t>
      </w:r>
    </w:p>
    <w:p w14:paraId="67873F3A">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5、强化环境风险防范管理，制定环境风险事故应急预案，落实各项环境风险防范和应急处置设施（措施），做好日常环境应急演练和培训。</w:t>
      </w:r>
    </w:p>
    <w:p w14:paraId="4A9193BF">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6、</w:t>
      </w:r>
      <w:r>
        <w:rPr>
          <w:rFonts w:hint="eastAsia" w:ascii="仿宋_GB2312" w:eastAsia="仿宋_GB2312"/>
          <w:sz w:val="32"/>
          <w:szCs w:val="32"/>
          <w:highlight w:val="none"/>
        </w:rPr>
        <w:t>做好环境信息公开工作，</w:t>
      </w:r>
      <w:r>
        <w:rPr>
          <w:rFonts w:hint="eastAsia" w:ascii="仿宋" w:hAnsi="仿宋" w:eastAsia="仿宋"/>
          <w:sz w:val="32"/>
          <w:szCs w:val="32"/>
          <w:highlight w:val="none"/>
        </w:rPr>
        <w:t>在工程施工和运营过程中，应建立畅通的公众参与平台，</w:t>
      </w:r>
      <w:r>
        <w:rPr>
          <w:rFonts w:hint="eastAsia" w:ascii="仿宋_GB2312" w:eastAsia="仿宋_GB2312"/>
          <w:sz w:val="32"/>
          <w:szCs w:val="32"/>
          <w:highlight w:val="none"/>
        </w:rPr>
        <w:t>接受公众监督，并</w:t>
      </w:r>
      <w:r>
        <w:rPr>
          <w:rFonts w:hint="eastAsia" w:ascii="仿宋" w:hAnsi="仿宋" w:eastAsia="仿宋"/>
          <w:sz w:val="32"/>
          <w:szCs w:val="32"/>
          <w:highlight w:val="none"/>
        </w:rPr>
        <w:t>及时解决公众提出的环境问题，满足公众合理的环境保护要求。</w:t>
      </w:r>
    </w:p>
    <w:p w14:paraId="171A6310">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highlight w:val="none"/>
        </w:rPr>
      </w:pPr>
      <w:r>
        <w:rPr>
          <w:rFonts w:hint="eastAsia" w:ascii="仿宋" w:hAnsi="仿宋" w:eastAsia="仿宋"/>
          <w:sz w:val="32"/>
          <w:szCs w:val="32"/>
          <w:highlight w:val="none"/>
        </w:rPr>
        <w:t>四、</w:t>
      </w:r>
      <w:r>
        <w:rPr>
          <w:rFonts w:hint="eastAsia" w:ascii="仿宋_GB2312" w:eastAsia="仿宋_GB2312"/>
          <w:sz w:val="32"/>
          <w:szCs w:val="32"/>
          <w:highlight w:val="none"/>
        </w:rPr>
        <w:t>该项目涉及发改、土地、规划、林业、水利、应急、文物保护等事项，以相应行政主管部门的意见为准。</w:t>
      </w:r>
    </w:p>
    <w:p w14:paraId="58125F46">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_GB2312" w:eastAsia="仿宋_GB2312"/>
          <w:sz w:val="32"/>
          <w:szCs w:val="32"/>
        </w:rPr>
        <w:t>五、</w:t>
      </w:r>
      <w:r>
        <w:rPr>
          <w:rFonts w:hint="eastAsia" w:ascii="仿宋" w:hAnsi="仿宋" w:eastAsia="仿宋"/>
          <w:sz w:val="32"/>
          <w:szCs w:val="32"/>
        </w:rPr>
        <w:t xml:space="preserve">若建设过程中项目的性质、规模、内容、地点、采用的工艺或者防治污染、防止生态破坏的措施发生重大变动的，应重新报批环境影响评价文件。自本批准之日起超过五年，方决定该项目开工建设的，其环境影响评价文件应当报我局重新审核。 </w:t>
      </w:r>
    </w:p>
    <w:p w14:paraId="7CDBE7BC">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六、项目竣工后，你单位是建设项目竣工环境保护验收的责任主体，应当按照规定的程序和标准，组织对配套建设的环境保护设施进行验收，验收合格后，项目方可正式投入运行。</w:t>
      </w:r>
    </w:p>
    <w:p w14:paraId="222A1C98">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七、所在辖区行政执法中队负责</w:t>
      </w:r>
      <w:bookmarkStart w:id="0" w:name="OLE_LINK1"/>
      <w:r>
        <w:rPr>
          <w:rFonts w:hint="eastAsia" w:ascii="仿宋" w:hAnsi="仿宋" w:eastAsia="仿宋"/>
          <w:sz w:val="32"/>
          <w:szCs w:val="32"/>
        </w:rPr>
        <w:t>该项目“三同时”日常监管工作，并将监管过程中出现的重大情况及时报县生态环境</w:t>
      </w:r>
      <w:r>
        <w:rPr>
          <w:rFonts w:ascii="仿宋" w:hAnsi="仿宋" w:eastAsia="仿宋"/>
          <w:sz w:val="32"/>
          <w:szCs w:val="32"/>
        </w:rPr>
        <w:t>分</w:t>
      </w:r>
      <w:r>
        <w:rPr>
          <w:rFonts w:hint="eastAsia" w:ascii="仿宋" w:hAnsi="仿宋" w:eastAsia="仿宋"/>
          <w:sz w:val="32"/>
          <w:szCs w:val="32"/>
        </w:rPr>
        <w:t>局</w:t>
      </w:r>
      <w:bookmarkEnd w:id="0"/>
      <w:r>
        <w:rPr>
          <w:rFonts w:hint="eastAsia" w:ascii="仿宋" w:hAnsi="仿宋" w:eastAsia="仿宋"/>
          <w:sz w:val="32"/>
          <w:szCs w:val="32"/>
        </w:rPr>
        <w:t>。</w:t>
      </w:r>
    </w:p>
    <w:p w14:paraId="3622EC3A">
      <w:pPr>
        <w:spacing w:line="360" w:lineRule="auto"/>
        <w:ind w:firstLine="640" w:firstLineChars="200"/>
        <w:rPr>
          <w:rFonts w:ascii="仿宋" w:hAnsi="仿宋" w:eastAsia="仿宋"/>
          <w:sz w:val="32"/>
          <w:szCs w:val="32"/>
        </w:rPr>
      </w:pPr>
    </w:p>
    <w:p w14:paraId="0265677A">
      <w:pPr>
        <w:spacing w:line="360" w:lineRule="auto"/>
        <w:ind w:firstLine="640" w:firstLineChars="200"/>
        <w:rPr>
          <w:rFonts w:ascii="仿宋" w:hAnsi="仿宋" w:eastAsia="仿宋"/>
          <w:sz w:val="32"/>
          <w:szCs w:val="32"/>
        </w:rPr>
      </w:pPr>
    </w:p>
    <w:p w14:paraId="242F8A9E">
      <w:pPr>
        <w:spacing w:line="360" w:lineRule="auto"/>
        <w:ind w:firstLine="640" w:firstLineChars="200"/>
        <w:rPr>
          <w:rFonts w:ascii="仿宋" w:hAnsi="仿宋" w:eastAsia="仿宋"/>
          <w:sz w:val="32"/>
          <w:szCs w:val="32"/>
        </w:rPr>
      </w:pPr>
    </w:p>
    <w:p w14:paraId="63F26112">
      <w:pPr>
        <w:spacing w:line="360" w:lineRule="auto"/>
        <w:ind w:right="320"/>
        <w:jc w:val="right"/>
        <w:rPr>
          <w:rFonts w:hint="eastAsia" w:ascii="仿宋" w:hAnsi="仿宋" w:eastAsia="仿宋"/>
          <w:sz w:val="32"/>
          <w:szCs w:val="32"/>
        </w:rPr>
      </w:pPr>
      <w:r>
        <w:rPr>
          <w:rFonts w:hint="eastAsia" w:ascii="仿宋" w:hAnsi="仿宋" w:eastAsia="仿宋"/>
          <w:sz w:val="32"/>
          <w:szCs w:val="32"/>
        </w:rPr>
        <w:t xml:space="preserve">宿州市砀山县生态环境分局                      </w:t>
      </w:r>
    </w:p>
    <w:p w14:paraId="445D09BA">
      <w:pPr>
        <w:spacing w:line="360" w:lineRule="auto"/>
        <w:ind w:right="800"/>
        <w:jc w:val="right"/>
        <w:rPr>
          <w:rFonts w:hint="eastAsia" w:ascii="仿宋" w:hAnsi="仿宋" w:eastAsia="仿宋"/>
          <w:sz w:val="32"/>
          <w:szCs w:val="32"/>
          <w:highlight w:val="none"/>
        </w:rPr>
      </w:pPr>
      <w:r>
        <w:rPr>
          <w:rFonts w:hint="eastAsia" w:ascii="仿宋" w:hAnsi="仿宋" w:eastAsia="仿宋"/>
          <w:sz w:val="32"/>
          <w:szCs w:val="32"/>
          <w:highlight w:val="none"/>
        </w:rPr>
        <w:t>20</w:t>
      </w:r>
      <w:r>
        <w:rPr>
          <w:rFonts w:ascii="仿宋" w:hAnsi="仿宋" w:eastAsia="仿宋"/>
          <w:sz w:val="32"/>
          <w:szCs w:val="32"/>
          <w:highlight w:val="none"/>
        </w:rPr>
        <w:t>2</w:t>
      </w:r>
      <w:r>
        <w:rPr>
          <w:rFonts w:hint="eastAsia" w:ascii="仿宋" w:hAnsi="仿宋" w:eastAsia="仿宋"/>
          <w:sz w:val="32"/>
          <w:szCs w:val="32"/>
          <w:highlight w:val="none"/>
        </w:rPr>
        <w:t>6年</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30</w:t>
      </w:r>
      <w:r>
        <w:rPr>
          <w:rFonts w:hint="eastAsia" w:ascii="仿宋" w:hAnsi="仿宋" w:eastAsia="仿宋"/>
          <w:sz w:val="32"/>
          <w:szCs w:val="32"/>
          <w:highlight w:val="none"/>
        </w:rPr>
        <w:t>日</w:t>
      </w:r>
    </w:p>
    <w:p w14:paraId="4A030182">
      <w:pPr>
        <w:adjustRightInd w:val="0"/>
        <w:snapToGrid w:val="0"/>
        <w:spacing w:line="360" w:lineRule="auto"/>
        <w:jc w:val="left"/>
      </w:pPr>
    </w:p>
    <w:p w14:paraId="167802C9">
      <w:pPr>
        <w:adjustRightInd w:val="0"/>
        <w:snapToGrid w:val="0"/>
        <w:spacing w:line="360" w:lineRule="auto"/>
        <w:jc w:val="left"/>
        <w:rPr>
          <w:rFonts w:ascii="仿宋_GB2312" w:hAnsi="仿宋_GB2312" w:eastAsia="仿宋_GB2312"/>
          <w:sz w:val="32"/>
          <w:u w:val="thick"/>
        </w:rPr>
      </w:pPr>
    </w:p>
    <w:p w14:paraId="703FDFFB">
      <w:pPr>
        <w:adjustRightInd w:val="0"/>
        <w:snapToGrid w:val="0"/>
        <w:spacing w:line="360" w:lineRule="auto"/>
        <w:jc w:val="left"/>
        <w:rPr>
          <w:rFonts w:ascii="仿宋_GB2312" w:hAnsi="仿宋_GB2312" w:eastAsia="仿宋_GB2312"/>
          <w:sz w:val="32"/>
          <w:u w:val="thick"/>
        </w:rPr>
      </w:pPr>
    </w:p>
    <w:p w14:paraId="60A383EE">
      <w:pPr>
        <w:adjustRightInd w:val="0"/>
        <w:snapToGrid w:val="0"/>
        <w:spacing w:line="360" w:lineRule="auto"/>
        <w:jc w:val="left"/>
        <w:rPr>
          <w:rFonts w:ascii="仿宋_GB2312" w:hAnsi="仿宋_GB2312" w:eastAsia="仿宋_GB2312"/>
          <w:sz w:val="32"/>
          <w:u w:val="thick"/>
        </w:rPr>
      </w:pPr>
    </w:p>
    <w:p w14:paraId="3F2D9321">
      <w:pPr>
        <w:adjustRightInd w:val="0"/>
        <w:snapToGrid w:val="0"/>
        <w:spacing w:line="360" w:lineRule="auto"/>
        <w:jc w:val="left"/>
        <w:rPr>
          <w:rFonts w:hint="eastAsia" w:ascii="仿宋_GB2312" w:hAnsi="仿宋_GB2312" w:eastAsia="仿宋_GB2312"/>
          <w:sz w:val="32"/>
          <w:u w:val="thick"/>
        </w:rPr>
      </w:pPr>
      <w:r>
        <w:rPr>
          <w:rFonts w:ascii="仿宋_GB2312" w:hAnsi="仿宋_GB2312" w:eastAsia="仿宋_GB2312"/>
          <w:sz w:val="32"/>
          <w:u w:val="thick"/>
        </w:rPr>
        <w:t xml:space="preserve">                                                      </w:t>
      </w:r>
    </w:p>
    <w:p w14:paraId="0468334C">
      <w:pPr>
        <w:adjustRightInd w:val="0"/>
        <w:snapToGrid w:val="0"/>
        <w:spacing w:line="360" w:lineRule="auto"/>
        <w:jc w:val="left"/>
        <w:rPr>
          <w:rFonts w:hint="eastAsia" w:ascii="仿宋" w:hAnsi="仿宋" w:eastAsia="仿宋" w:cs="仿宋"/>
          <w:bCs/>
          <w:sz w:val="30"/>
          <w:szCs w:val="30"/>
          <w:u w:val="single"/>
        </w:rPr>
      </w:pPr>
      <w:r>
        <w:rPr>
          <w:rFonts w:hint="eastAsia" w:ascii="仿宋" w:hAnsi="仿宋" w:eastAsia="仿宋" w:cs="仿宋"/>
          <w:bCs/>
          <w:sz w:val="28"/>
          <w:szCs w:val="28"/>
          <w:u w:val="single"/>
        </w:rPr>
        <w:t>抄：县</w:t>
      </w:r>
      <w:r>
        <w:rPr>
          <w:rFonts w:hint="eastAsia" w:ascii="仿宋" w:hAnsi="仿宋" w:eastAsia="仿宋" w:cs="仿宋"/>
          <w:sz w:val="28"/>
          <w:szCs w:val="28"/>
          <w:u w:val="single"/>
        </w:rPr>
        <w:t>生态环境行政执法</w:t>
      </w:r>
      <w:r>
        <w:rPr>
          <w:rFonts w:hint="eastAsia" w:ascii="仿宋" w:hAnsi="仿宋" w:eastAsia="仿宋" w:cs="仿宋"/>
          <w:bCs/>
          <w:sz w:val="28"/>
          <w:szCs w:val="28"/>
          <w:u w:val="single"/>
        </w:rPr>
        <w:t>大队，</w:t>
      </w:r>
      <w:r>
        <w:rPr>
          <w:rFonts w:hint="eastAsia" w:ascii="仿宋" w:hAnsi="仿宋" w:eastAsia="仿宋" w:cs="仿宋"/>
          <w:bCs/>
          <w:sz w:val="28"/>
          <w:szCs w:val="28"/>
          <w:u w:val="single"/>
          <w:lang w:eastAsia="zh-CN"/>
        </w:rPr>
        <w:t>宿州启明环境技术有限公司</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u w:val="single"/>
        </w:rPr>
        <w:t xml:space="preserve">                                                                             </w:t>
      </w:r>
      <w:r>
        <w:rPr>
          <w:rFonts w:hint="eastAsia" w:ascii="仿宋" w:hAnsi="仿宋" w:eastAsia="仿宋" w:cs="仿宋"/>
          <w:sz w:val="28"/>
          <w:szCs w:val="28"/>
          <w:u w:val="thick"/>
        </w:rPr>
        <w:t xml:space="preserve"> 宿州市砀山县生态环境分局办公室　     </w:t>
      </w:r>
      <w:r>
        <w:rPr>
          <w:rFonts w:hint="eastAsia" w:ascii="仿宋" w:hAnsi="仿宋" w:eastAsia="仿宋" w:cs="仿宋"/>
          <w:sz w:val="28"/>
          <w:szCs w:val="28"/>
          <w:highlight w:val="none"/>
          <w:u w:val="thick"/>
        </w:rPr>
        <w:t xml:space="preserve">  2026年</w:t>
      </w:r>
      <w:r>
        <w:rPr>
          <w:rFonts w:hint="eastAsia" w:ascii="仿宋" w:hAnsi="仿宋" w:eastAsia="仿宋" w:cs="仿宋"/>
          <w:sz w:val="28"/>
          <w:szCs w:val="28"/>
          <w:highlight w:val="none"/>
          <w:u w:val="thick"/>
          <w:lang w:val="en-US" w:eastAsia="zh-CN"/>
        </w:rPr>
        <w:t>4</w:t>
      </w:r>
      <w:r>
        <w:rPr>
          <w:rFonts w:hint="eastAsia" w:ascii="仿宋" w:hAnsi="仿宋" w:eastAsia="仿宋" w:cs="仿宋"/>
          <w:sz w:val="28"/>
          <w:szCs w:val="28"/>
          <w:highlight w:val="none"/>
          <w:u w:val="thick"/>
        </w:rPr>
        <w:t>月</w:t>
      </w:r>
      <w:r>
        <w:rPr>
          <w:rFonts w:hint="eastAsia" w:ascii="仿宋" w:hAnsi="仿宋" w:eastAsia="仿宋" w:cs="仿宋"/>
          <w:sz w:val="28"/>
          <w:szCs w:val="28"/>
          <w:highlight w:val="none"/>
          <w:u w:val="thick"/>
          <w:lang w:val="en-US" w:eastAsia="zh-CN"/>
        </w:rPr>
        <w:t>30</w:t>
      </w:r>
      <w:r>
        <w:rPr>
          <w:rFonts w:hint="eastAsia" w:ascii="仿宋" w:hAnsi="仿宋" w:eastAsia="仿宋" w:cs="仿宋"/>
          <w:sz w:val="28"/>
          <w:szCs w:val="28"/>
          <w:highlight w:val="none"/>
          <w:u w:val="thick"/>
        </w:rPr>
        <w:t>日</w:t>
      </w:r>
      <w:r>
        <w:rPr>
          <w:rFonts w:hint="eastAsia" w:ascii="仿宋" w:hAnsi="仿宋" w:eastAsia="仿宋" w:cs="仿宋"/>
          <w:sz w:val="28"/>
          <w:szCs w:val="28"/>
          <w:u w:val="thick"/>
        </w:rPr>
        <w:t xml:space="preserve">印发        </w:t>
      </w:r>
      <w:r>
        <w:rPr>
          <w:rFonts w:hint="eastAsia" w:ascii="仿宋_GB2312" w:hAnsi="华文仿宋" w:eastAsia="仿宋_GB2312"/>
          <w:sz w:val="30"/>
          <w:szCs w:val="30"/>
          <w:u w:val="thick"/>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565"/>
    <w:rsid w:val="0000714B"/>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1D82"/>
    <w:rsid w:val="0009259F"/>
    <w:rsid w:val="000A25F1"/>
    <w:rsid w:val="000A3E0D"/>
    <w:rsid w:val="000A53BC"/>
    <w:rsid w:val="000B60B2"/>
    <w:rsid w:val="000C1935"/>
    <w:rsid w:val="000C1DBA"/>
    <w:rsid w:val="000C6C56"/>
    <w:rsid w:val="000C780F"/>
    <w:rsid w:val="000C7FCE"/>
    <w:rsid w:val="000D07A0"/>
    <w:rsid w:val="000D1320"/>
    <w:rsid w:val="000D5E2B"/>
    <w:rsid w:val="000D5E5A"/>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3D31"/>
    <w:rsid w:val="001252C9"/>
    <w:rsid w:val="001258B3"/>
    <w:rsid w:val="001275A8"/>
    <w:rsid w:val="00130563"/>
    <w:rsid w:val="0013608B"/>
    <w:rsid w:val="001405F5"/>
    <w:rsid w:val="00143D2A"/>
    <w:rsid w:val="0014474D"/>
    <w:rsid w:val="00145483"/>
    <w:rsid w:val="00145BF9"/>
    <w:rsid w:val="00146165"/>
    <w:rsid w:val="0015307B"/>
    <w:rsid w:val="0015445A"/>
    <w:rsid w:val="0015487D"/>
    <w:rsid w:val="00156794"/>
    <w:rsid w:val="001572FE"/>
    <w:rsid w:val="00161358"/>
    <w:rsid w:val="00163240"/>
    <w:rsid w:val="001643CA"/>
    <w:rsid w:val="00172A27"/>
    <w:rsid w:val="00173D46"/>
    <w:rsid w:val="00176DB3"/>
    <w:rsid w:val="00180BF0"/>
    <w:rsid w:val="00195409"/>
    <w:rsid w:val="00195E06"/>
    <w:rsid w:val="001A0A85"/>
    <w:rsid w:val="001A5858"/>
    <w:rsid w:val="001B1294"/>
    <w:rsid w:val="001B4166"/>
    <w:rsid w:val="001C1801"/>
    <w:rsid w:val="001C1BA8"/>
    <w:rsid w:val="001C31D0"/>
    <w:rsid w:val="001C3A22"/>
    <w:rsid w:val="001C5505"/>
    <w:rsid w:val="001C7C77"/>
    <w:rsid w:val="001D4D53"/>
    <w:rsid w:val="001D55F4"/>
    <w:rsid w:val="001D717D"/>
    <w:rsid w:val="001F56F2"/>
    <w:rsid w:val="001F670E"/>
    <w:rsid w:val="001F7530"/>
    <w:rsid w:val="002005EC"/>
    <w:rsid w:val="00201FAC"/>
    <w:rsid w:val="00202D71"/>
    <w:rsid w:val="002037D1"/>
    <w:rsid w:val="002059FC"/>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745DA"/>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E6842"/>
    <w:rsid w:val="002F15F5"/>
    <w:rsid w:val="002F2354"/>
    <w:rsid w:val="002F2A3E"/>
    <w:rsid w:val="002F6960"/>
    <w:rsid w:val="003014F4"/>
    <w:rsid w:val="00301A9B"/>
    <w:rsid w:val="00303A9E"/>
    <w:rsid w:val="00305E2C"/>
    <w:rsid w:val="00312038"/>
    <w:rsid w:val="0031267C"/>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71FC"/>
    <w:rsid w:val="003B2D7C"/>
    <w:rsid w:val="003B323F"/>
    <w:rsid w:val="003B3E95"/>
    <w:rsid w:val="003B42AE"/>
    <w:rsid w:val="003B44F3"/>
    <w:rsid w:val="003B4BC1"/>
    <w:rsid w:val="003C0384"/>
    <w:rsid w:val="003C1141"/>
    <w:rsid w:val="003C6919"/>
    <w:rsid w:val="003D0C17"/>
    <w:rsid w:val="003D449D"/>
    <w:rsid w:val="003D491C"/>
    <w:rsid w:val="003E25B7"/>
    <w:rsid w:val="003E2804"/>
    <w:rsid w:val="003E74C2"/>
    <w:rsid w:val="003F0FF1"/>
    <w:rsid w:val="003F3C76"/>
    <w:rsid w:val="003F4240"/>
    <w:rsid w:val="003F5983"/>
    <w:rsid w:val="00403C8E"/>
    <w:rsid w:val="00407301"/>
    <w:rsid w:val="00410166"/>
    <w:rsid w:val="00413057"/>
    <w:rsid w:val="0041554D"/>
    <w:rsid w:val="00416733"/>
    <w:rsid w:val="00416D23"/>
    <w:rsid w:val="004215BC"/>
    <w:rsid w:val="00421ACE"/>
    <w:rsid w:val="00432539"/>
    <w:rsid w:val="00432D8F"/>
    <w:rsid w:val="00434EBB"/>
    <w:rsid w:val="00437BE3"/>
    <w:rsid w:val="00442B9E"/>
    <w:rsid w:val="004434EC"/>
    <w:rsid w:val="00446F9F"/>
    <w:rsid w:val="0044736C"/>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64A3"/>
    <w:rsid w:val="0050074A"/>
    <w:rsid w:val="00500807"/>
    <w:rsid w:val="0050180B"/>
    <w:rsid w:val="0050289D"/>
    <w:rsid w:val="005131AB"/>
    <w:rsid w:val="00513326"/>
    <w:rsid w:val="005135DF"/>
    <w:rsid w:val="005165F9"/>
    <w:rsid w:val="00516766"/>
    <w:rsid w:val="00516EE8"/>
    <w:rsid w:val="0052053B"/>
    <w:rsid w:val="005317CD"/>
    <w:rsid w:val="00531E46"/>
    <w:rsid w:val="00532D7C"/>
    <w:rsid w:val="0053441C"/>
    <w:rsid w:val="00536D41"/>
    <w:rsid w:val="005466A5"/>
    <w:rsid w:val="00550686"/>
    <w:rsid w:val="005507D7"/>
    <w:rsid w:val="00550954"/>
    <w:rsid w:val="0055397A"/>
    <w:rsid w:val="00554B0D"/>
    <w:rsid w:val="00560485"/>
    <w:rsid w:val="00564249"/>
    <w:rsid w:val="005672BC"/>
    <w:rsid w:val="00575070"/>
    <w:rsid w:val="005842FD"/>
    <w:rsid w:val="00595181"/>
    <w:rsid w:val="005A3893"/>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639"/>
    <w:rsid w:val="00632FFE"/>
    <w:rsid w:val="00643215"/>
    <w:rsid w:val="00643E86"/>
    <w:rsid w:val="0064673E"/>
    <w:rsid w:val="00655DD7"/>
    <w:rsid w:val="0065763C"/>
    <w:rsid w:val="006619A9"/>
    <w:rsid w:val="00661A3C"/>
    <w:rsid w:val="0066595F"/>
    <w:rsid w:val="00670052"/>
    <w:rsid w:val="00672172"/>
    <w:rsid w:val="00681E36"/>
    <w:rsid w:val="00682777"/>
    <w:rsid w:val="00683DF8"/>
    <w:rsid w:val="00691FA0"/>
    <w:rsid w:val="00692816"/>
    <w:rsid w:val="00693C26"/>
    <w:rsid w:val="00693D72"/>
    <w:rsid w:val="006A10EB"/>
    <w:rsid w:val="006B2918"/>
    <w:rsid w:val="006B2938"/>
    <w:rsid w:val="006B3413"/>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15813"/>
    <w:rsid w:val="007216B2"/>
    <w:rsid w:val="00724081"/>
    <w:rsid w:val="007249F2"/>
    <w:rsid w:val="00726D59"/>
    <w:rsid w:val="007302ED"/>
    <w:rsid w:val="00730F0D"/>
    <w:rsid w:val="007370D7"/>
    <w:rsid w:val="007371B3"/>
    <w:rsid w:val="00741B5A"/>
    <w:rsid w:val="007429AE"/>
    <w:rsid w:val="00744478"/>
    <w:rsid w:val="00747CFF"/>
    <w:rsid w:val="00750071"/>
    <w:rsid w:val="007506F0"/>
    <w:rsid w:val="00752EF1"/>
    <w:rsid w:val="00756253"/>
    <w:rsid w:val="00764836"/>
    <w:rsid w:val="007702C7"/>
    <w:rsid w:val="007730CC"/>
    <w:rsid w:val="0077336C"/>
    <w:rsid w:val="0078675E"/>
    <w:rsid w:val="00791CE7"/>
    <w:rsid w:val="00797768"/>
    <w:rsid w:val="007A2729"/>
    <w:rsid w:val="007A3B29"/>
    <w:rsid w:val="007B2C34"/>
    <w:rsid w:val="007B4A87"/>
    <w:rsid w:val="007C1D1B"/>
    <w:rsid w:val="007C451C"/>
    <w:rsid w:val="007D5543"/>
    <w:rsid w:val="007D5969"/>
    <w:rsid w:val="007D743E"/>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16A45"/>
    <w:rsid w:val="00821615"/>
    <w:rsid w:val="008222C3"/>
    <w:rsid w:val="008302CB"/>
    <w:rsid w:val="00837E46"/>
    <w:rsid w:val="00841511"/>
    <w:rsid w:val="00843336"/>
    <w:rsid w:val="008458D9"/>
    <w:rsid w:val="008512B5"/>
    <w:rsid w:val="00865C95"/>
    <w:rsid w:val="0087643A"/>
    <w:rsid w:val="00876C76"/>
    <w:rsid w:val="00883D07"/>
    <w:rsid w:val="00884E00"/>
    <w:rsid w:val="00886F95"/>
    <w:rsid w:val="00890109"/>
    <w:rsid w:val="0089114D"/>
    <w:rsid w:val="00893CF9"/>
    <w:rsid w:val="00896CAF"/>
    <w:rsid w:val="00897150"/>
    <w:rsid w:val="008A147A"/>
    <w:rsid w:val="008A3034"/>
    <w:rsid w:val="008A35F3"/>
    <w:rsid w:val="008A7922"/>
    <w:rsid w:val="008B2DA0"/>
    <w:rsid w:val="008B311F"/>
    <w:rsid w:val="008C0597"/>
    <w:rsid w:val="008C0839"/>
    <w:rsid w:val="008C1147"/>
    <w:rsid w:val="008C1189"/>
    <w:rsid w:val="008C44DC"/>
    <w:rsid w:val="008D0EF9"/>
    <w:rsid w:val="008D2339"/>
    <w:rsid w:val="008D2DFA"/>
    <w:rsid w:val="008D4313"/>
    <w:rsid w:val="008D5853"/>
    <w:rsid w:val="008D5E56"/>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35AB"/>
    <w:rsid w:val="009B6098"/>
    <w:rsid w:val="009C0B7E"/>
    <w:rsid w:val="009C0C4A"/>
    <w:rsid w:val="009C2183"/>
    <w:rsid w:val="009C5300"/>
    <w:rsid w:val="009C5335"/>
    <w:rsid w:val="009C73B2"/>
    <w:rsid w:val="009D154B"/>
    <w:rsid w:val="009D4508"/>
    <w:rsid w:val="009D58AF"/>
    <w:rsid w:val="009E1B91"/>
    <w:rsid w:val="009E4BBE"/>
    <w:rsid w:val="009E53AB"/>
    <w:rsid w:val="009E736F"/>
    <w:rsid w:val="009F0019"/>
    <w:rsid w:val="009F4004"/>
    <w:rsid w:val="00A01AB6"/>
    <w:rsid w:val="00A03110"/>
    <w:rsid w:val="00A04388"/>
    <w:rsid w:val="00A04FF1"/>
    <w:rsid w:val="00A05E80"/>
    <w:rsid w:val="00A130E3"/>
    <w:rsid w:val="00A16B6A"/>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9A5"/>
    <w:rsid w:val="00A74E08"/>
    <w:rsid w:val="00A83D16"/>
    <w:rsid w:val="00A86E12"/>
    <w:rsid w:val="00A87DDF"/>
    <w:rsid w:val="00A9341A"/>
    <w:rsid w:val="00AA0867"/>
    <w:rsid w:val="00AA295D"/>
    <w:rsid w:val="00AA4CA9"/>
    <w:rsid w:val="00AA7EE7"/>
    <w:rsid w:val="00AB62DB"/>
    <w:rsid w:val="00AB77CB"/>
    <w:rsid w:val="00AC18CE"/>
    <w:rsid w:val="00AC3494"/>
    <w:rsid w:val="00AC4746"/>
    <w:rsid w:val="00AC4837"/>
    <w:rsid w:val="00AC6ACD"/>
    <w:rsid w:val="00AD29A1"/>
    <w:rsid w:val="00AE15B6"/>
    <w:rsid w:val="00AE3CB1"/>
    <w:rsid w:val="00AE6D3F"/>
    <w:rsid w:val="00B004AF"/>
    <w:rsid w:val="00B0231E"/>
    <w:rsid w:val="00B075E7"/>
    <w:rsid w:val="00B12206"/>
    <w:rsid w:val="00B131D1"/>
    <w:rsid w:val="00B140E3"/>
    <w:rsid w:val="00B14C07"/>
    <w:rsid w:val="00B15E15"/>
    <w:rsid w:val="00B209DC"/>
    <w:rsid w:val="00B23473"/>
    <w:rsid w:val="00B2637E"/>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97567"/>
    <w:rsid w:val="00BA0E30"/>
    <w:rsid w:val="00BA522E"/>
    <w:rsid w:val="00BB1980"/>
    <w:rsid w:val="00BB1A72"/>
    <w:rsid w:val="00BB274E"/>
    <w:rsid w:val="00BB4237"/>
    <w:rsid w:val="00BB7370"/>
    <w:rsid w:val="00BC4E03"/>
    <w:rsid w:val="00BC67ED"/>
    <w:rsid w:val="00BC6EB5"/>
    <w:rsid w:val="00BC7DD7"/>
    <w:rsid w:val="00BD28F8"/>
    <w:rsid w:val="00BD4B68"/>
    <w:rsid w:val="00BD4F0A"/>
    <w:rsid w:val="00BD7634"/>
    <w:rsid w:val="00BE166C"/>
    <w:rsid w:val="00BE5976"/>
    <w:rsid w:val="00BF0891"/>
    <w:rsid w:val="00BF3894"/>
    <w:rsid w:val="00BF48FA"/>
    <w:rsid w:val="00BF501B"/>
    <w:rsid w:val="00BF7021"/>
    <w:rsid w:val="00C03375"/>
    <w:rsid w:val="00C0369C"/>
    <w:rsid w:val="00C059EC"/>
    <w:rsid w:val="00C10149"/>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C5C01"/>
    <w:rsid w:val="00CD1EC9"/>
    <w:rsid w:val="00CD39C2"/>
    <w:rsid w:val="00CE1E27"/>
    <w:rsid w:val="00CE265F"/>
    <w:rsid w:val="00CF6CA2"/>
    <w:rsid w:val="00D06D5B"/>
    <w:rsid w:val="00D121C2"/>
    <w:rsid w:val="00D13861"/>
    <w:rsid w:val="00D14863"/>
    <w:rsid w:val="00D209BD"/>
    <w:rsid w:val="00D35E43"/>
    <w:rsid w:val="00D4090C"/>
    <w:rsid w:val="00D41B87"/>
    <w:rsid w:val="00D453D7"/>
    <w:rsid w:val="00D4578F"/>
    <w:rsid w:val="00D4799B"/>
    <w:rsid w:val="00D5168D"/>
    <w:rsid w:val="00D529DF"/>
    <w:rsid w:val="00D54CE3"/>
    <w:rsid w:val="00D54DA0"/>
    <w:rsid w:val="00D55213"/>
    <w:rsid w:val="00D56A76"/>
    <w:rsid w:val="00D66CA6"/>
    <w:rsid w:val="00D702C3"/>
    <w:rsid w:val="00D73CA3"/>
    <w:rsid w:val="00D75D30"/>
    <w:rsid w:val="00D76D50"/>
    <w:rsid w:val="00D80FE4"/>
    <w:rsid w:val="00D8376D"/>
    <w:rsid w:val="00D842D8"/>
    <w:rsid w:val="00D84F49"/>
    <w:rsid w:val="00D854CC"/>
    <w:rsid w:val="00D87670"/>
    <w:rsid w:val="00D933A3"/>
    <w:rsid w:val="00DA07F2"/>
    <w:rsid w:val="00DA0E57"/>
    <w:rsid w:val="00DA5C94"/>
    <w:rsid w:val="00DA641A"/>
    <w:rsid w:val="00DA6F20"/>
    <w:rsid w:val="00DB245C"/>
    <w:rsid w:val="00DB33D2"/>
    <w:rsid w:val="00DB4EAC"/>
    <w:rsid w:val="00DB6B6F"/>
    <w:rsid w:val="00DC110E"/>
    <w:rsid w:val="00DD14B7"/>
    <w:rsid w:val="00DD18E1"/>
    <w:rsid w:val="00DD6C6B"/>
    <w:rsid w:val="00DD6C8F"/>
    <w:rsid w:val="00DE1ADD"/>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02A4"/>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80E4D"/>
    <w:rsid w:val="00E810B5"/>
    <w:rsid w:val="00E84B6D"/>
    <w:rsid w:val="00E8548F"/>
    <w:rsid w:val="00E86A7C"/>
    <w:rsid w:val="00E946D8"/>
    <w:rsid w:val="00E975F7"/>
    <w:rsid w:val="00EA5B0E"/>
    <w:rsid w:val="00EB2A2D"/>
    <w:rsid w:val="00EB662E"/>
    <w:rsid w:val="00EB69D3"/>
    <w:rsid w:val="00EB6C1E"/>
    <w:rsid w:val="00EC177B"/>
    <w:rsid w:val="00EC4441"/>
    <w:rsid w:val="00EC7B99"/>
    <w:rsid w:val="00ED0F7A"/>
    <w:rsid w:val="00ED19BC"/>
    <w:rsid w:val="00EE1302"/>
    <w:rsid w:val="00EE324A"/>
    <w:rsid w:val="00EE33E3"/>
    <w:rsid w:val="00EF3FCA"/>
    <w:rsid w:val="00EF4CEA"/>
    <w:rsid w:val="00F03EB9"/>
    <w:rsid w:val="00F043E2"/>
    <w:rsid w:val="00F0701E"/>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84A"/>
    <w:rsid w:val="00FC4E27"/>
    <w:rsid w:val="00FD165F"/>
    <w:rsid w:val="00FD7454"/>
    <w:rsid w:val="00FE44EC"/>
    <w:rsid w:val="00FE60B9"/>
    <w:rsid w:val="00FE68A9"/>
    <w:rsid w:val="00FF6352"/>
    <w:rsid w:val="00FF73E1"/>
    <w:rsid w:val="00FF747B"/>
    <w:rsid w:val="014A55AA"/>
    <w:rsid w:val="01D06A90"/>
    <w:rsid w:val="022E0D31"/>
    <w:rsid w:val="03E444D9"/>
    <w:rsid w:val="03EC19F8"/>
    <w:rsid w:val="042132B6"/>
    <w:rsid w:val="05931C1A"/>
    <w:rsid w:val="06E10582"/>
    <w:rsid w:val="08CB606A"/>
    <w:rsid w:val="09C70FD5"/>
    <w:rsid w:val="0D081C65"/>
    <w:rsid w:val="0D880C59"/>
    <w:rsid w:val="0E3C054C"/>
    <w:rsid w:val="0FBC649F"/>
    <w:rsid w:val="10D42BB6"/>
    <w:rsid w:val="113E7F74"/>
    <w:rsid w:val="11B4266C"/>
    <w:rsid w:val="11DB2196"/>
    <w:rsid w:val="134808A7"/>
    <w:rsid w:val="16095A09"/>
    <w:rsid w:val="180A4854"/>
    <w:rsid w:val="19896808"/>
    <w:rsid w:val="1B771192"/>
    <w:rsid w:val="1BD7080F"/>
    <w:rsid w:val="1CD569C5"/>
    <w:rsid w:val="1CE0653F"/>
    <w:rsid w:val="1D201734"/>
    <w:rsid w:val="1E1916CF"/>
    <w:rsid w:val="1E4E2F3F"/>
    <w:rsid w:val="1E8E21E0"/>
    <w:rsid w:val="218B54FA"/>
    <w:rsid w:val="232121CF"/>
    <w:rsid w:val="23221408"/>
    <w:rsid w:val="23E67C23"/>
    <w:rsid w:val="255A1ABB"/>
    <w:rsid w:val="2A793427"/>
    <w:rsid w:val="2CD37680"/>
    <w:rsid w:val="2D304F7E"/>
    <w:rsid w:val="2D5116A9"/>
    <w:rsid w:val="2D613012"/>
    <w:rsid w:val="2F6B1263"/>
    <w:rsid w:val="343F60FB"/>
    <w:rsid w:val="37F324F8"/>
    <w:rsid w:val="384A07C4"/>
    <w:rsid w:val="388D1922"/>
    <w:rsid w:val="39477735"/>
    <w:rsid w:val="394A07B8"/>
    <w:rsid w:val="3BA04504"/>
    <w:rsid w:val="3D251A87"/>
    <w:rsid w:val="3D7E33FC"/>
    <w:rsid w:val="3FA82C7D"/>
    <w:rsid w:val="409E0783"/>
    <w:rsid w:val="42DA58E6"/>
    <w:rsid w:val="4389141A"/>
    <w:rsid w:val="440752E9"/>
    <w:rsid w:val="444E1BE6"/>
    <w:rsid w:val="45D65075"/>
    <w:rsid w:val="478D2511"/>
    <w:rsid w:val="48F87D49"/>
    <w:rsid w:val="49984C85"/>
    <w:rsid w:val="49C16BC8"/>
    <w:rsid w:val="4C1E6192"/>
    <w:rsid w:val="4C450B45"/>
    <w:rsid w:val="4E427F9E"/>
    <w:rsid w:val="4EF550EA"/>
    <w:rsid w:val="4FC07426"/>
    <w:rsid w:val="4FC30956"/>
    <w:rsid w:val="52BA6E04"/>
    <w:rsid w:val="53EE15A7"/>
    <w:rsid w:val="54E245AA"/>
    <w:rsid w:val="55DA0E89"/>
    <w:rsid w:val="564776EA"/>
    <w:rsid w:val="580B0628"/>
    <w:rsid w:val="59267DB8"/>
    <w:rsid w:val="595B58D8"/>
    <w:rsid w:val="5A601300"/>
    <w:rsid w:val="5ABA7FF6"/>
    <w:rsid w:val="5BFA2498"/>
    <w:rsid w:val="5F36187C"/>
    <w:rsid w:val="5FAA7F89"/>
    <w:rsid w:val="61683457"/>
    <w:rsid w:val="618C21BA"/>
    <w:rsid w:val="620A4506"/>
    <w:rsid w:val="622E0E5C"/>
    <w:rsid w:val="63FA22D9"/>
    <w:rsid w:val="642D3F1C"/>
    <w:rsid w:val="65430F4B"/>
    <w:rsid w:val="6B641DB4"/>
    <w:rsid w:val="6D0555C1"/>
    <w:rsid w:val="6DB647AA"/>
    <w:rsid w:val="6DB73849"/>
    <w:rsid w:val="71D359D9"/>
    <w:rsid w:val="74440F54"/>
    <w:rsid w:val="749D492B"/>
    <w:rsid w:val="74E26871"/>
    <w:rsid w:val="75826B26"/>
    <w:rsid w:val="77C343ED"/>
    <w:rsid w:val="77F45805"/>
    <w:rsid w:val="793759C7"/>
    <w:rsid w:val="79EE2B6E"/>
    <w:rsid w:val="7A6C7F12"/>
    <w:rsid w:val="7EC97D22"/>
    <w:rsid w:val="7FAA6A05"/>
    <w:rsid w:val="DBF47779"/>
    <w:rsid w:val="F6FD6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keepNext/>
      <w:keepLines/>
      <w:spacing w:line="360" w:lineRule="auto"/>
      <w:jc w:val="left"/>
      <w:outlineLvl w:val="2"/>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List 3"/>
    <w:basedOn w:val="1"/>
    <w:next w:val="1"/>
    <w:qFormat/>
    <w:uiPriority w:val="0"/>
    <w:pPr>
      <w:jc w:val="left"/>
    </w:pPr>
    <w:rPr>
      <w:bCs/>
      <w:szCs w:val="21"/>
    </w:rPr>
  </w:style>
  <w:style w:type="paragraph" w:styleId="4">
    <w:name w:val="Salutation"/>
    <w:next w:val="1"/>
    <w:unhideWhenUs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Body Text"/>
    <w:basedOn w:val="1"/>
    <w:next w:val="6"/>
    <w:qFormat/>
    <w:uiPriority w:val="0"/>
    <w:pPr>
      <w:spacing w:after="120"/>
    </w:pPr>
  </w:style>
  <w:style w:type="paragraph" w:customStyle="1" w:styleId="6">
    <w:name w:val="xl27"/>
    <w:next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sz w:val="21"/>
      <w:szCs w:val="22"/>
      <w:lang w:val="en-US" w:eastAsia="zh-CN" w:bidi="ar-SA"/>
    </w:rPr>
  </w:style>
  <w:style w:type="paragraph" w:styleId="7">
    <w:name w:val="Body Text Indent"/>
    <w:basedOn w:val="1"/>
    <w:next w:val="8"/>
    <w:qFormat/>
    <w:uiPriority w:val="0"/>
    <w:pPr>
      <w:spacing w:after="120"/>
      <w:ind w:left="420" w:leftChars="200"/>
    </w:pPr>
    <w:rPr>
      <w:rFonts w:ascii="Times New Roman" w:hAnsi="Times New Roman" w:cs="Times New Roman"/>
      <w:kern w:val="0"/>
      <w:sz w:val="24"/>
      <w:szCs w:val="20"/>
    </w:rPr>
  </w:style>
  <w:style w:type="paragraph" w:styleId="8">
    <w:name w:val="Body Text First Indent 2"/>
    <w:basedOn w:val="7"/>
    <w:next w:val="1"/>
    <w:unhideWhenUsed/>
    <w:qFormat/>
    <w:uiPriority w:val="0"/>
    <w:pPr>
      <w:spacing w:after="0" w:line="480" w:lineRule="exact"/>
      <w:ind w:left="0" w:leftChars="0" w:firstLine="420" w:firstLineChars="200"/>
    </w:pPr>
    <w:rPr>
      <w:b/>
      <w:sz w:val="28"/>
    </w:rPr>
  </w:style>
  <w:style w:type="paragraph" w:styleId="9">
    <w:name w:val="Plain Text"/>
    <w:next w:val="4"/>
    <w:qFormat/>
    <w:uiPriority w:val="0"/>
    <w:pPr>
      <w:widowControl w:val="0"/>
      <w:jc w:val="both"/>
    </w:pPr>
    <w:rPr>
      <w:rFonts w:ascii="宋体" w:hAnsi="Courier New" w:eastAsiaTheme="minorEastAsia" w:cstheme="minorBidi"/>
      <w:kern w:val="2"/>
      <w:sz w:val="30"/>
      <w:szCs w:val="22"/>
      <w:lang w:val="en-US" w:eastAsia="zh-CN" w:bidi="ar-SA"/>
    </w:rPr>
  </w:style>
  <w:style w:type="paragraph" w:styleId="10">
    <w:name w:val="Body Text Indent 2"/>
    <w:basedOn w:val="1"/>
    <w:next w:val="8"/>
    <w:qFormat/>
    <w:uiPriority w:val="0"/>
    <w:pPr>
      <w:spacing w:line="500" w:lineRule="exact"/>
      <w:ind w:firstLine="556"/>
    </w:pPr>
    <w:rPr>
      <w:rFonts w:ascii="Times New Roman" w:hAnsi="Times New Roman" w:cs="Times New Roman"/>
      <w:bCs/>
      <w:sz w:val="28"/>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9"/>
    <w:basedOn w:val="1"/>
    <w:next w:val="1"/>
    <w:qFormat/>
    <w:uiPriority w:val="0"/>
    <w:pPr>
      <w:ind w:left="3360" w:leftChars="1600"/>
    </w:pPr>
    <w:rPr>
      <w:rFonts w:ascii="Times New Roman" w:hAnsi="Times New Roman" w:cs="Times New Roman"/>
    </w:rPr>
  </w:style>
  <w:style w:type="paragraph" w:styleId="15">
    <w:name w:val="Body Text 2"/>
    <w:basedOn w:val="1"/>
    <w:qFormat/>
    <w:uiPriority w:val="0"/>
    <w:pPr>
      <w:adjustRightInd w:val="0"/>
      <w:spacing w:line="400" w:lineRule="atLeast"/>
      <w:textAlignment w:val="baseline"/>
    </w:pPr>
    <w:rPr>
      <w:kern w:val="0"/>
      <w:sz w:val="24"/>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5"/>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2B2B2B"/>
      <w:u w:val="none"/>
    </w:rPr>
  </w:style>
  <w:style w:type="character" w:styleId="23">
    <w:name w:val="Emphasis"/>
    <w:basedOn w:val="20"/>
    <w:qFormat/>
    <w:uiPriority w:val="0"/>
  </w:style>
  <w:style w:type="character" w:styleId="24">
    <w:name w:val="Hyperlink"/>
    <w:basedOn w:val="20"/>
    <w:qFormat/>
    <w:uiPriority w:val="0"/>
    <w:rPr>
      <w:color w:val="2B2B2B"/>
      <w:u w:val="none"/>
    </w:rPr>
  </w:style>
  <w:style w:type="character" w:styleId="25">
    <w:name w:val="HTML Cite"/>
    <w:basedOn w:val="20"/>
    <w:qFormat/>
    <w:uiPriority w:val="0"/>
    <w:rPr>
      <w:color w:val="999999"/>
    </w:rPr>
  </w:style>
  <w:style w:type="paragraph" w:customStyle="1" w:styleId="26">
    <w:name w:val="Default"/>
    <w:basedOn w:val="27"/>
    <w:qFormat/>
    <w:uiPriority w:val="0"/>
    <w:pPr>
      <w:autoSpaceDE w:val="0"/>
      <w:autoSpaceDN w:val="0"/>
    </w:pPr>
    <w:rPr>
      <w:rFonts w:ascii="Times New Roman" w:hAnsi="Times New Roman" w:cs="Times New Roman"/>
      <w:color w:val="000000"/>
      <w:sz w:val="24"/>
      <w:szCs w:val="24"/>
    </w:rPr>
  </w:style>
  <w:style w:type="paragraph" w:customStyle="1" w:styleId="27">
    <w:name w:val="纯文本1"/>
    <w:basedOn w:val="1"/>
    <w:qFormat/>
    <w:uiPriority w:val="0"/>
    <w:pPr>
      <w:adjustRightInd w:val="0"/>
    </w:pPr>
    <w:rPr>
      <w:rFonts w:ascii="宋体" w:hAnsi="Courier New"/>
      <w:szCs w:val="20"/>
    </w:rPr>
  </w:style>
  <w:style w:type="paragraph" w:customStyle="1" w:styleId="28">
    <w:name w:val="新格式表"/>
    <w:basedOn w:val="1"/>
    <w:qFormat/>
    <w:uiPriority w:val="0"/>
    <w:pPr>
      <w:adjustRightInd w:val="0"/>
      <w:snapToGrid w:val="0"/>
      <w:spacing w:line="0" w:lineRule="atLeast"/>
      <w:jc w:val="center"/>
    </w:pPr>
    <w:rPr>
      <w:szCs w:val="21"/>
    </w:rPr>
  </w:style>
  <w:style w:type="paragraph" w:customStyle="1" w:styleId="29">
    <w:name w:val="_Style 11"/>
    <w:basedOn w:val="1"/>
    <w:next w:val="1"/>
    <w:qFormat/>
    <w:uiPriority w:val="0"/>
    <w:pPr>
      <w:pBdr>
        <w:bottom w:val="single" w:color="auto" w:sz="6" w:space="1"/>
      </w:pBdr>
      <w:jc w:val="center"/>
    </w:pPr>
    <w:rPr>
      <w:rFonts w:ascii="Arial"/>
      <w:vanish/>
      <w:sz w:val="16"/>
    </w:rPr>
  </w:style>
  <w:style w:type="paragraph" w:customStyle="1" w:styleId="30">
    <w:name w:val="_Style 12"/>
    <w:basedOn w:val="1"/>
    <w:next w:val="1"/>
    <w:qFormat/>
    <w:uiPriority w:val="0"/>
    <w:pPr>
      <w:pBdr>
        <w:top w:val="single" w:color="auto" w:sz="6" w:space="1"/>
      </w:pBdr>
      <w:jc w:val="center"/>
    </w:pPr>
    <w:rPr>
      <w:rFonts w:ascii="Arial"/>
      <w:vanish/>
      <w:sz w:val="16"/>
    </w:rPr>
  </w:style>
  <w:style w:type="paragraph" w:styleId="31">
    <w:name w:val="List Paragraph"/>
    <w:basedOn w:val="1"/>
    <w:qFormat/>
    <w:uiPriority w:val="99"/>
    <w:pPr>
      <w:ind w:firstLine="420" w:firstLineChars="200"/>
    </w:pPr>
  </w:style>
  <w:style w:type="paragraph" w:customStyle="1" w:styleId="32">
    <w:name w:val="_Style 15"/>
    <w:basedOn w:val="1"/>
    <w:next w:val="1"/>
    <w:qFormat/>
    <w:uiPriority w:val="0"/>
    <w:pPr>
      <w:pBdr>
        <w:bottom w:val="single" w:color="auto" w:sz="6" w:space="1"/>
      </w:pBdr>
      <w:jc w:val="center"/>
    </w:pPr>
    <w:rPr>
      <w:rFonts w:ascii="Arial"/>
      <w:vanish/>
      <w:sz w:val="16"/>
    </w:rPr>
  </w:style>
  <w:style w:type="paragraph" w:customStyle="1" w:styleId="33">
    <w:name w:val="_Style 16"/>
    <w:basedOn w:val="1"/>
    <w:next w:val="1"/>
    <w:qFormat/>
    <w:uiPriority w:val="0"/>
    <w:pPr>
      <w:pBdr>
        <w:top w:val="single" w:color="auto" w:sz="6" w:space="1"/>
      </w:pBdr>
      <w:jc w:val="center"/>
    </w:pPr>
    <w:rPr>
      <w:rFonts w:ascii="Arial"/>
      <w:vanish/>
      <w:sz w:val="16"/>
    </w:rPr>
  </w:style>
  <w:style w:type="paragraph" w:customStyle="1" w:styleId="34">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35">
    <w:name w:val="批注框文本 字符"/>
    <w:basedOn w:val="20"/>
    <w:link w:val="11"/>
    <w:qFormat/>
    <w:uiPriority w:val="0"/>
    <w:rPr>
      <w:rFonts w:asciiTheme="minorHAnsi" w:hAnsiTheme="minorHAnsi" w:cstheme="minorBidi"/>
      <w:kern w:val="2"/>
      <w:sz w:val="18"/>
      <w:szCs w:val="18"/>
    </w:rPr>
  </w:style>
  <w:style w:type="paragraph" w:customStyle="1" w:styleId="36">
    <w:name w:val="样式 五号 居中"/>
    <w:basedOn w:val="1"/>
    <w:qFormat/>
    <w:uiPriority w:val="0"/>
    <w:pPr>
      <w:jc w:val="center"/>
    </w:pPr>
    <w:rPr>
      <w:rFonts w:cs="宋体"/>
    </w:rPr>
  </w:style>
  <w:style w:type="paragraph" w:customStyle="1" w:styleId="37">
    <w:name w:val="表内文字"/>
    <w:basedOn w:val="1"/>
    <w:qFormat/>
    <w:uiPriority w:val="0"/>
    <w:pPr>
      <w:adjustRightInd w:val="0"/>
      <w:jc w:val="center"/>
      <w:textAlignment w:val="baseline"/>
    </w:pPr>
    <w:rPr>
      <w:szCs w:val="20"/>
    </w:rPr>
  </w:style>
  <w:style w:type="paragraph" w:customStyle="1" w:styleId="38">
    <w:name w:val="表格内容"/>
    <w:basedOn w:val="39"/>
    <w:next w:val="1"/>
    <w:qFormat/>
    <w:uiPriority w:val="0"/>
    <w:pPr>
      <w:spacing w:line="240" w:lineRule="atLeast"/>
    </w:pPr>
    <w:rPr>
      <w:rFonts w:ascii="Times New Roman" w:hAnsi="Times New Roman"/>
      <w:b w:val="0"/>
    </w:rPr>
  </w:style>
  <w:style w:type="paragraph" w:customStyle="1" w:styleId="39">
    <w:name w:val="表格标题"/>
    <w:basedOn w:val="5"/>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89DCEA37-E168-48CD-8E22-D45FBC3E1FF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796</Words>
  <Characters>805</Characters>
  <Lines>47</Lines>
  <Paragraphs>20</Paragraphs>
  <TotalTime>135</TotalTime>
  <ScaleCrop>false</ScaleCrop>
  <LinksUpToDate>false</LinksUpToDate>
  <CharactersWithSpaces>1581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2025-12-24T02:10:00Z</dcterms:created>
  <dc:creator>Administrator</dc:creator>
  <cp:lastModifiedBy>uos</cp:lastModifiedBy>
  <cp:lastPrinted>2025-10-28T08:35:00Z</cp:lastPrinted>
  <dcterms:modified xsi:type="dcterms:W3CDTF">2026-04-29T16:04:29Z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eyJoZGlkIjoiMjM0N2ZjNGE5ZTk2OGYzZGRlZjY5ZjJhMmYxMzhhMjUiLCJ1c2VySWQiOiIyOTIxNzUzMTgifQ==</vt:lpwstr>
  </property>
  <property fmtid="{D5CDD505-2E9C-101B-9397-08002B2CF9AE}" pid="4" name="ICV">
    <vt:lpwstr>AB801E4D23CA49D0A86DDDF8FA181E10_12</vt:lpwstr>
  </property>
</Properties>
</file>