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5AB2">
      <w:pPr>
        <w:spacing w:line="360" w:lineRule="auto"/>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p w14:paraId="1746E969">
      <w:pPr>
        <w:spacing w:line="360" w:lineRule="auto"/>
        <w:jc w:val="center"/>
        <w:rPr>
          <w:rFonts w:ascii="仿宋_GB2312" w:eastAsia="仿宋_GB2312"/>
          <w:sz w:val="32"/>
          <w:szCs w:val="32"/>
        </w:rPr>
      </w:pPr>
    </w:p>
    <w:p w14:paraId="26A4578E">
      <w:pPr>
        <w:spacing w:line="360" w:lineRule="auto"/>
        <w:jc w:val="center"/>
        <w:rPr>
          <w:rFonts w:ascii="仿宋_GB2312" w:eastAsia="仿宋_GB2312"/>
          <w:sz w:val="32"/>
          <w:szCs w:val="32"/>
        </w:rPr>
      </w:pPr>
    </w:p>
    <w:p w14:paraId="496476C3">
      <w:pPr>
        <w:spacing w:line="360" w:lineRule="auto"/>
        <w:jc w:val="center"/>
        <w:rPr>
          <w:rFonts w:ascii="仿宋_GB2312" w:eastAsia="仿宋_GB2312"/>
          <w:sz w:val="32"/>
          <w:szCs w:val="32"/>
        </w:rPr>
      </w:pPr>
    </w:p>
    <w:p w14:paraId="27DA98B0">
      <w:pPr>
        <w:spacing w:line="360" w:lineRule="auto"/>
        <w:jc w:val="center"/>
        <w:rPr>
          <w:rFonts w:ascii="仿宋_GB2312" w:eastAsia="仿宋_GB2312"/>
          <w:sz w:val="32"/>
          <w:szCs w:val="32"/>
        </w:rPr>
      </w:pPr>
    </w:p>
    <w:p w14:paraId="54B7E701">
      <w:pPr>
        <w:spacing w:line="360" w:lineRule="auto"/>
        <w:ind w:firstLine="2560" w:firstLineChars="800"/>
        <w:jc w:val="both"/>
        <w:rPr>
          <w:rFonts w:ascii="仿宋_GB2312" w:eastAsia="仿宋_GB2312"/>
          <w:sz w:val="32"/>
          <w:szCs w:val="32"/>
        </w:rPr>
      </w:pPr>
      <w:r>
        <w:rPr>
          <w:rFonts w:hint="eastAsia" w:ascii="仿宋_GB2312" w:eastAsia="仿宋_GB2312"/>
          <w:sz w:val="32"/>
          <w:szCs w:val="32"/>
        </w:rPr>
        <w:t>砀环建函〔20</w:t>
      </w:r>
      <w:r>
        <w:rPr>
          <w:rFonts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08</w:t>
      </w:r>
      <w:r>
        <w:rPr>
          <w:rFonts w:hint="eastAsia" w:ascii="仿宋_GB2312" w:eastAsia="仿宋_GB2312"/>
          <w:sz w:val="32"/>
          <w:szCs w:val="32"/>
        </w:rPr>
        <w:t>号</w:t>
      </w:r>
    </w:p>
    <w:p w14:paraId="5E9C32FB">
      <w:pPr>
        <w:spacing w:line="400" w:lineRule="exact"/>
        <w:jc w:val="center"/>
        <w:rPr>
          <w:rFonts w:ascii="宋体" w:hAnsi="宋体"/>
          <w:b/>
          <w:sz w:val="44"/>
          <w:szCs w:val="44"/>
        </w:rPr>
      </w:pPr>
    </w:p>
    <w:p w14:paraId="7473C4C0">
      <w:pPr>
        <w:widowControl/>
        <w:spacing w:line="560" w:lineRule="exact"/>
        <w:jc w:val="center"/>
        <w:rPr>
          <w:rFonts w:hint="eastAsia" w:cs="方正小标宋_GBK" w:asciiTheme="majorEastAsia" w:hAnsiTheme="majorEastAsia" w:eastAsiaTheme="majorEastAsia"/>
          <w:b/>
          <w:sz w:val="44"/>
          <w:szCs w:val="44"/>
          <w:lang w:val="en-US" w:eastAsia="zh-CN"/>
        </w:rPr>
      </w:pPr>
      <w:r>
        <w:rPr>
          <w:rFonts w:hint="eastAsia" w:cs="方正小标宋_GBK" w:asciiTheme="majorEastAsia" w:hAnsiTheme="majorEastAsia" w:eastAsiaTheme="majorEastAsia"/>
          <w:b/>
          <w:sz w:val="44"/>
          <w:szCs w:val="44"/>
        </w:rPr>
        <w:t>关于</w:t>
      </w:r>
      <w:r>
        <w:rPr>
          <w:rFonts w:hint="eastAsia" w:cs="方正小标宋_GBK" w:asciiTheme="majorEastAsia" w:hAnsiTheme="majorEastAsia" w:eastAsiaTheme="majorEastAsia"/>
          <w:b/>
          <w:sz w:val="44"/>
          <w:szCs w:val="44"/>
          <w:lang w:val="en-US" w:eastAsia="zh-CN"/>
        </w:rPr>
        <w:t>安徽泰怡医疗科技有限公司</w:t>
      </w:r>
    </w:p>
    <w:p w14:paraId="4E280F15">
      <w:pPr>
        <w:widowControl/>
        <w:spacing w:line="560" w:lineRule="exact"/>
        <w:jc w:val="center"/>
        <w:rPr>
          <w:rFonts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lang w:val="en-US" w:eastAsia="zh-CN"/>
        </w:rPr>
        <w:t>安徽泰怡医疗器械生产、研发及销售项目</w:t>
      </w:r>
      <w:r>
        <w:rPr>
          <w:rFonts w:hint="eastAsia" w:cs="方正小标宋_GBK" w:asciiTheme="majorEastAsia" w:hAnsiTheme="majorEastAsia" w:eastAsiaTheme="majorEastAsia"/>
          <w:b/>
          <w:sz w:val="44"/>
          <w:szCs w:val="44"/>
        </w:rPr>
        <w:t>环境影响报告表审批意见的函</w:t>
      </w:r>
      <w:bookmarkStart w:id="1" w:name="_GoBack"/>
      <w:bookmarkEnd w:id="1"/>
    </w:p>
    <w:p w14:paraId="1B004B59">
      <w:pPr>
        <w:widowControl/>
        <w:spacing w:line="460" w:lineRule="exact"/>
        <w:jc w:val="left"/>
        <w:rPr>
          <w:rFonts w:ascii="方正小标宋简体" w:hAnsi="方正小标宋简体" w:eastAsia="方正小标宋简体" w:cs="方正小标宋简体"/>
          <w:bCs/>
          <w:sz w:val="44"/>
          <w:szCs w:val="44"/>
        </w:rPr>
      </w:pPr>
    </w:p>
    <w:p w14:paraId="315155B3">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 w:hAnsi="仿宋" w:eastAsia="仿宋"/>
          <w:sz w:val="32"/>
          <w:szCs w:val="32"/>
        </w:rPr>
      </w:pPr>
      <w:r>
        <w:rPr>
          <w:rFonts w:hint="eastAsia" w:ascii="仿宋" w:hAnsi="仿宋" w:eastAsia="仿宋" w:cs="仿宋"/>
          <w:b w:val="0"/>
          <w:bCs w:val="0"/>
          <w:sz w:val="32"/>
          <w:szCs w:val="32"/>
          <w:u w:val="none"/>
          <w:lang w:val="en-US" w:eastAsia="zh-CN"/>
        </w:rPr>
        <w:t>安徽泰怡医疗科技有限公司</w:t>
      </w:r>
      <w:r>
        <w:rPr>
          <w:rFonts w:hint="eastAsia" w:ascii="仿宋" w:hAnsi="仿宋" w:eastAsia="仿宋"/>
          <w:sz w:val="32"/>
          <w:szCs w:val="32"/>
        </w:rPr>
        <w:t>：</w:t>
      </w:r>
    </w:p>
    <w:p w14:paraId="5CC2987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 w:hAnsi="仿宋" w:eastAsia="仿宋"/>
          <w:sz w:val="32"/>
          <w:szCs w:val="32"/>
        </w:rPr>
      </w:pPr>
      <w:r>
        <w:rPr>
          <w:rFonts w:hint="eastAsia" w:ascii="仿宋" w:hAnsi="仿宋" w:eastAsia="仿宋"/>
          <w:sz w:val="32"/>
          <w:szCs w:val="32"/>
        </w:rPr>
        <w:t>报来</w:t>
      </w:r>
      <w:r>
        <w:rPr>
          <w:rFonts w:hint="eastAsia" w:ascii="仿宋" w:hAnsi="仿宋" w:eastAsia="仿宋" w:cs="仿宋"/>
          <w:b w:val="0"/>
          <w:bCs w:val="0"/>
          <w:sz w:val="32"/>
          <w:szCs w:val="32"/>
          <w:u w:val="none"/>
          <w:lang w:eastAsia="zh-CN"/>
        </w:rPr>
        <w:t>《</w:t>
      </w:r>
      <w:r>
        <w:rPr>
          <w:rFonts w:hint="eastAsia" w:ascii="仿宋" w:hAnsi="仿宋" w:eastAsia="仿宋" w:cs="仿宋"/>
          <w:b w:val="0"/>
          <w:bCs w:val="0"/>
          <w:sz w:val="32"/>
          <w:szCs w:val="32"/>
          <w:u w:val="none"/>
          <w:lang w:val="en-US" w:eastAsia="zh-CN"/>
        </w:rPr>
        <w:t>安徽泰怡医疗科技有限公司安徽泰怡医疗器械生产、研发及销售项目</w:t>
      </w:r>
      <w:r>
        <w:rPr>
          <w:rFonts w:hint="eastAsia" w:ascii="仿宋_GB2312" w:eastAsia="仿宋_GB2312"/>
          <w:sz w:val="32"/>
          <w:szCs w:val="32"/>
        </w:rPr>
        <w:t>环境影响报告表</w:t>
      </w:r>
      <w:r>
        <w:rPr>
          <w:rFonts w:hint="eastAsia" w:ascii="仿宋" w:hAnsi="仿宋" w:eastAsia="仿宋"/>
          <w:sz w:val="32"/>
          <w:szCs w:val="32"/>
        </w:rPr>
        <w:t>》（以下简称《报告表》）悉。经研究，现批复如下：</w:t>
      </w:r>
    </w:p>
    <w:p w14:paraId="355C6D7F">
      <w:pPr>
        <w:keepNext w:val="0"/>
        <w:keepLines w:val="0"/>
        <w:pageBreakBefore w:val="0"/>
        <w:widowControl/>
        <w:kinsoku/>
        <w:wordWrap/>
        <w:overflowPunct/>
        <w:topLinePunct w:val="0"/>
        <w:autoSpaceDE/>
        <w:autoSpaceDN/>
        <w:bidi w:val="0"/>
        <w:adjustRightInd/>
        <w:snapToGrid/>
        <w:spacing w:line="380" w:lineRule="exact"/>
        <w:textAlignment w:val="auto"/>
        <w:rPr>
          <w:rFonts w:ascii="仿宋" w:hAnsi="仿宋" w:eastAsia="仿宋"/>
          <w:sz w:val="32"/>
          <w:szCs w:val="32"/>
        </w:rPr>
      </w:pPr>
      <w:r>
        <w:rPr>
          <w:rFonts w:hint="eastAsia" w:ascii="仿宋" w:hAnsi="仿宋" w:eastAsia="仿宋"/>
          <w:sz w:val="32"/>
          <w:szCs w:val="32"/>
        </w:rPr>
        <w:t xml:space="preserve">    一、原则同意《报告表》评价结论,</w:t>
      </w:r>
      <w:r>
        <w:rPr>
          <w:rFonts w:hint="eastAsia" w:ascii="仿宋" w:hAnsi="仿宋" w:eastAsia="仿宋" w:cs="仿宋"/>
          <w:b w:val="0"/>
          <w:bCs w:val="0"/>
          <w:sz w:val="32"/>
          <w:szCs w:val="32"/>
          <w:u w:val="none"/>
          <w:lang w:val="en-US" w:eastAsia="zh-CN"/>
        </w:rPr>
        <w:t>安徽泰怡医疗科技有限公司</w:t>
      </w:r>
      <w:r>
        <w:rPr>
          <w:rFonts w:hint="eastAsia" w:ascii="仿宋" w:hAnsi="仿宋" w:eastAsia="仿宋"/>
          <w:sz w:val="32"/>
          <w:szCs w:val="32"/>
        </w:rPr>
        <w:t>总投资</w:t>
      </w:r>
      <w:r>
        <w:rPr>
          <w:rFonts w:hint="eastAsia" w:ascii="仿宋" w:hAnsi="仿宋" w:eastAsia="仿宋"/>
          <w:sz w:val="32"/>
          <w:szCs w:val="32"/>
          <w:lang w:val="en-US" w:eastAsia="zh-CN"/>
        </w:rPr>
        <w:t>2000</w:t>
      </w:r>
      <w:r>
        <w:rPr>
          <w:rFonts w:hint="eastAsia" w:ascii="仿宋" w:hAnsi="仿宋" w:eastAsia="仿宋"/>
          <w:sz w:val="32"/>
          <w:szCs w:val="32"/>
        </w:rPr>
        <w:t>万元在</w:t>
      </w:r>
      <w:r>
        <w:rPr>
          <w:rFonts w:hint="eastAsia" w:ascii="仿宋" w:hAnsi="仿宋" w:eastAsia="仿宋"/>
          <w:sz w:val="32"/>
          <w:szCs w:val="32"/>
          <w:lang w:val="en-US" w:eastAsia="zh-CN"/>
        </w:rPr>
        <w:t>安徽省砀山经济开发区医疗器械产业园C区9号厂房</w:t>
      </w:r>
      <w:r>
        <w:rPr>
          <w:rFonts w:hint="eastAsia" w:ascii="仿宋" w:hAnsi="仿宋" w:eastAsia="仿宋"/>
          <w:sz w:val="32"/>
          <w:szCs w:val="32"/>
        </w:rPr>
        <w:t>投资</w:t>
      </w:r>
      <w:r>
        <w:rPr>
          <w:rFonts w:ascii="仿宋" w:hAnsi="仿宋" w:eastAsia="仿宋"/>
          <w:sz w:val="32"/>
          <w:szCs w:val="32"/>
        </w:rPr>
        <w:t>建设的</w:t>
      </w:r>
      <w:r>
        <w:rPr>
          <w:rFonts w:hint="eastAsia" w:ascii="仿宋" w:hAnsi="仿宋" w:eastAsia="仿宋"/>
          <w:sz w:val="32"/>
          <w:szCs w:val="32"/>
          <w:lang w:val="en-US" w:eastAsia="zh-CN"/>
        </w:rPr>
        <w:t>安徽泰怡医疗器械生产、研发及销售项目</w:t>
      </w:r>
      <w:r>
        <w:rPr>
          <w:rFonts w:hint="eastAsia" w:ascii="仿宋" w:hAnsi="仿宋" w:eastAsia="仿宋"/>
          <w:sz w:val="32"/>
          <w:szCs w:val="32"/>
        </w:rPr>
        <w:t>。</w:t>
      </w:r>
      <w:r>
        <w:rPr>
          <w:rFonts w:hint="eastAsia" w:ascii="仿宋" w:hAnsi="仿宋" w:eastAsia="仿宋"/>
          <w:sz w:val="32"/>
          <w:szCs w:val="32"/>
          <w:lang w:val="en-US" w:eastAsia="zh-CN"/>
        </w:rPr>
        <w:t>占地面积2536.92m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rPr>
        <w:t>，</w:t>
      </w:r>
      <w:r>
        <w:rPr>
          <w:rFonts w:hint="eastAsia" w:ascii="仿宋" w:hAnsi="仿宋" w:eastAsia="仿宋"/>
          <w:sz w:val="32"/>
          <w:szCs w:val="32"/>
          <w:lang w:val="en-US" w:eastAsia="zh-CN"/>
        </w:rPr>
        <w:t>购置注塑机、吹塑机、破碎机等设备进行</w:t>
      </w:r>
      <w:r>
        <w:rPr>
          <w:rFonts w:hint="eastAsia" w:ascii="仿宋" w:hAnsi="仿宋" w:eastAsia="仿宋"/>
          <w:sz w:val="32"/>
          <w:szCs w:val="32"/>
          <w:lang w:eastAsia="zh-CN"/>
        </w:rPr>
        <w:t>一次性使用吸氧管、预充式导管冲洗器</w:t>
      </w:r>
      <w:r>
        <w:rPr>
          <w:rFonts w:hint="eastAsia" w:ascii="仿宋" w:hAnsi="仿宋" w:eastAsia="仿宋"/>
          <w:sz w:val="32"/>
          <w:szCs w:val="32"/>
          <w:lang w:val="en-US" w:eastAsia="zh-CN"/>
        </w:rPr>
        <w:t>生产，项目建成后可形成年产1500万套医疗器械的生产能力。</w:t>
      </w:r>
      <w:r>
        <w:rPr>
          <w:rFonts w:hint="eastAsia" w:ascii="仿宋" w:hAnsi="仿宋" w:eastAsia="仿宋"/>
          <w:sz w:val="32"/>
          <w:szCs w:val="32"/>
        </w:rPr>
        <w:t>项目已由</w:t>
      </w:r>
      <w:r>
        <w:rPr>
          <w:rFonts w:hint="eastAsia" w:ascii="仿宋" w:hAnsi="仿宋" w:eastAsia="仿宋"/>
          <w:sz w:val="32"/>
          <w:szCs w:val="32"/>
          <w:lang w:val="en-US" w:eastAsia="zh-CN"/>
        </w:rPr>
        <w:t>砀山经济开发区管委会砀开发备案〔2025〕49号</w:t>
      </w:r>
      <w:r>
        <w:rPr>
          <w:rFonts w:hint="eastAsia" w:ascii="仿宋" w:hAnsi="仿宋" w:eastAsia="仿宋"/>
          <w:sz w:val="32"/>
          <w:szCs w:val="32"/>
        </w:rPr>
        <w:t>予以备案予以备案从环境保护角度，同意该项目按《报告表》中所列工程性质、规模、内容、地点、工艺流程和配套的污染防治措施等进行建设。</w:t>
      </w:r>
    </w:p>
    <w:p w14:paraId="7A3A709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 w:hAnsi="仿宋" w:eastAsia="仿宋"/>
          <w:sz w:val="32"/>
          <w:szCs w:val="32"/>
        </w:rPr>
      </w:pPr>
      <w:r>
        <w:rPr>
          <w:rFonts w:hint="eastAsia" w:ascii="仿宋" w:hAnsi="仿宋" w:eastAsia="仿宋"/>
          <w:sz w:val="32"/>
          <w:szCs w:val="32"/>
        </w:rPr>
        <w:t>二、建设单位必须严格执行环境保护“三同时”制度，认真落实《报告表》提出的各项污染防治措施，确保相关的环境保护设施与主体工程同时设计、同时施工、同时投入使用。</w:t>
      </w:r>
    </w:p>
    <w:p w14:paraId="0108258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 w:hAnsi="仿宋" w:eastAsia="仿宋"/>
          <w:sz w:val="32"/>
          <w:szCs w:val="32"/>
        </w:rPr>
      </w:pPr>
      <w:r>
        <w:rPr>
          <w:rFonts w:hint="eastAsia" w:ascii="仿宋" w:hAnsi="仿宋" w:eastAsia="仿宋"/>
          <w:sz w:val="32"/>
          <w:szCs w:val="32"/>
        </w:rPr>
        <w:t>三、项目应重点注意以下几点：</w:t>
      </w:r>
    </w:p>
    <w:p w14:paraId="27C8C76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1、废水：主</w:t>
      </w:r>
      <w:r>
        <w:rPr>
          <w:rFonts w:hint="eastAsia" w:ascii="仿宋" w:hAnsi="仿宋" w:eastAsia="仿宋"/>
          <w:sz w:val="32"/>
          <w:szCs w:val="32"/>
          <w:lang w:val="en-US"/>
        </w:rPr>
        <w:t>要为</w:t>
      </w:r>
      <w:r>
        <w:rPr>
          <w:rFonts w:hint="eastAsia" w:ascii="仿宋" w:hAnsi="仿宋" w:eastAsia="仿宋"/>
          <w:sz w:val="32"/>
          <w:szCs w:val="32"/>
          <w:lang w:val="zh-CN"/>
        </w:rPr>
        <w:t>生活污水</w:t>
      </w:r>
      <w:r>
        <w:rPr>
          <w:rFonts w:hint="eastAsia" w:ascii="仿宋" w:hAnsi="仿宋" w:eastAsia="仿宋"/>
          <w:sz w:val="32"/>
          <w:szCs w:val="32"/>
          <w:lang w:val="en-US" w:eastAsia="zh-CN"/>
        </w:rPr>
        <w:t>及产品清洗废水、冷凝水、纯水制备浓水、定期更换的循环冷却水等</w:t>
      </w:r>
      <w:r>
        <w:rPr>
          <w:rFonts w:hint="eastAsia" w:ascii="仿宋" w:hAnsi="仿宋" w:eastAsia="仿宋"/>
          <w:sz w:val="32"/>
          <w:szCs w:val="32"/>
          <w:lang w:val="zh-CN"/>
        </w:rPr>
        <w:t>，</w:t>
      </w:r>
      <w:r>
        <w:rPr>
          <w:rFonts w:hint="eastAsia" w:ascii="仿宋" w:hAnsi="仿宋" w:eastAsia="仿宋"/>
          <w:sz w:val="32"/>
          <w:szCs w:val="32"/>
          <w:lang w:val="en-US"/>
        </w:rPr>
        <w:t>职工生活污水经化粪池处理后达砀山经济开发区工业污水处理厂接管标准后</w:t>
      </w:r>
      <w:r>
        <w:rPr>
          <w:rFonts w:hint="eastAsia" w:ascii="仿宋" w:hAnsi="仿宋" w:eastAsia="仿宋"/>
          <w:sz w:val="32"/>
          <w:szCs w:val="32"/>
          <w:lang w:val="en-US" w:eastAsia="zh-CN"/>
        </w:rPr>
        <w:t>与产品清洗废水、冷凝水、纯水制备浓水、定期更换的循环冷却水等一同</w:t>
      </w:r>
      <w:r>
        <w:rPr>
          <w:rFonts w:hint="eastAsia" w:ascii="仿宋" w:hAnsi="仿宋" w:eastAsia="仿宋"/>
          <w:sz w:val="32"/>
          <w:szCs w:val="32"/>
          <w:lang w:val="en-US"/>
        </w:rPr>
        <w:t>排入市政污水管网</w:t>
      </w:r>
      <w:r>
        <w:rPr>
          <w:rFonts w:hint="eastAsia" w:ascii="仿宋" w:hAnsi="仿宋" w:eastAsia="仿宋"/>
          <w:sz w:val="32"/>
          <w:szCs w:val="32"/>
        </w:rPr>
        <w:t>。</w:t>
      </w:r>
    </w:p>
    <w:p w14:paraId="6177E93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2、废气：</w:t>
      </w:r>
      <w:r>
        <w:rPr>
          <w:rFonts w:hint="eastAsia" w:ascii="仿宋" w:hAnsi="仿宋" w:eastAsia="仿宋"/>
          <w:sz w:val="32"/>
          <w:szCs w:val="32"/>
          <w:lang w:val="en-US" w:eastAsia="zh-CN"/>
        </w:rPr>
        <w:t>注塑、吹塑通过工序上方设置软帘+集气罩收集后，引入通过一套二级活性炭装置处理，处理后通过一根25m高（DA001）排气筒排放，破碎工序通过上方设置集气罩收集后引入布袋除尘器进行处理，处理后通过一根25m高（DA002）排气筒排放。非甲烷总烃排放可满足</w:t>
      </w:r>
      <w:r>
        <w:rPr>
          <w:rFonts w:hint="eastAsia" w:ascii="仿宋" w:hAnsi="仿宋" w:eastAsia="仿宋"/>
          <w:sz w:val="32"/>
          <w:szCs w:val="32"/>
          <w:lang w:val="en-US"/>
        </w:rPr>
        <w:t>《固定源挥发性有机物综合排放标准第6部分：其他行业》（DB34/4812.6-2024）表1</w:t>
      </w:r>
      <w:r>
        <w:rPr>
          <w:rFonts w:hint="eastAsia" w:ascii="仿宋" w:hAnsi="仿宋" w:eastAsia="仿宋"/>
          <w:sz w:val="32"/>
          <w:szCs w:val="32"/>
          <w:lang w:val="en-US" w:eastAsia="zh-CN"/>
        </w:rPr>
        <w:t>中“塑料制品工业”</w:t>
      </w:r>
      <w:r>
        <w:rPr>
          <w:rFonts w:hint="eastAsia" w:ascii="仿宋" w:hAnsi="仿宋" w:eastAsia="仿宋"/>
          <w:sz w:val="32"/>
          <w:szCs w:val="32"/>
          <w:lang w:val="en-US"/>
        </w:rPr>
        <w:t>限值</w:t>
      </w:r>
      <w:r>
        <w:rPr>
          <w:rFonts w:hint="eastAsia" w:ascii="仿宋" w:hAnsi="仿宋" w:eastAsia="仿宋"/>
          <w:sz w:val="32"/>
          <w:szCs w:val="32"/>
          <w:lang w:val="en-US" w:eastAsia="zh-CN"/>
        </w:rPr>
        <w:t>要求，颗粒物排放可满足</w:t>
      </w:r>
      <w:r>
        <w:rPr>
          <w:rFonts w:hint="eastAsia" w:ascii="仿宋" w:hAnsi="仿宋" w:eastAsia="仿宋"/>
          <w:sz w:val="32"/>
          <w:szCs w:val="32"/>
          <w:lang w:val="en-US"/>
        </w:rPr>
        <w:t>《合成树脂工业污染物排放标准》（GB31572-2015）及修改单中要求</w:t>
      </w:r>
      <w:r>
        <w:rPr>
          <w:rFonts w:hint="eastAsia" w:ascii="仿宋" w:hAnsi="仿宋" w:eastAsia="仿宋"/>
          <w:sz w:val="32"/>
          <w:szCs w:val="32"/>
          <w:lang w:val="en-US" w:eastAsia="zh-CN"/>
        </w:rPr>
        <w:t>，维修机加工产生的少量颗粒物无组织排放。</w:t>
      </w:r>
    </w:p>
    <w:p w14:paraId="5C4504F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3、噪声：项目产噪设备采取噪声环境综合整治，产噪设备采取隔声、消声、基础减振等措施，经处理后的厂界噪声达到《工业企业厂界环境噪声排放标准》（GB12348-2008）中的</w:t>
      </w:r>
      <w:r>
        <w:rPr>
          <w:rFonts w:hint="eastAsia" w:ascii="仿宋" w:hAnsi="仿宋" w:eastAsia="仿宋"/>
          <w:sz w:val="32"/>
          <w:szCs w:val="32"/>
          <w:lang w:val="en-US" w:eastAsia="zh-CN"/>
        </w:rPr>
        <w:t>3</w:t>
      </w:r>
      <w:r>
        <w:rPr>
          <w:rFonts w:hint="eastAsia" w:ascii="仿宋" w:hAnsi="仿宋" w:eastAsia="仿宋"/>
          <w:sz w:val="32"/>
          <w:szCs w:val="32"/>
        </w:rPr>
        <w:t>类标准。</w:t>
      </w:r>
    </w:p>
    <w:p w14:paraId="4209DC7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4、固废：</w:t>
      </w:r>
      <w:r>
        <w:rPr>
          <w:rFonts w:hint="eastAsia" w:ascii="仿宋" w:hAnsi="仿宋" w:eastAsia="仿宋"/>
          <w:sz w:val="32"/>
          <w:szCs w:val="32"/>
          <w:lang w:val="en-US"/>
        </w:rPr>
        <w:t>项</w:t>
      </w:r>
      <w:r>
        <w:rPr>
          <w:rFonts w:hint="eastAsia" w:ascii="仿宋" w:hAnsi="仿宋" w:eastAsia="仿宋"/>
          <w:sz w:val="32"/>
          <w:szCs w:val="32"/>
          <w:lang w:val="en-US" w:eastAsia="zh-CN"/>
        </w:rPr>
        <w:t>目产生的一般固废主要有边角料、不合格品、废石英砂、废离子交换树脂、废反渗透膜、布袋除尘器收集的粉尘、废包装材料、废布袋、沉降的金属颗粒等，危险废物主要为废活性炭、废机油及废机油桶、废含油抹布、实验室器具清洗废液、一次性实验耗材、废试剂瓶、实验废液（含检验水）、废紫外灯管、废乳化液等。</w:t>
      </w:r>
      <w:r>
        <w:rPr>
          <w:rFonts w:hint="eastAsia" w:ascii="仿宋" w:hAnsi="仿宋" w:eastAsia="仿宋"/>
          <w:sz w:val="32"/>
          <w:szCs w:val="32"/>
          <w:lang w:val="en-US"/>
        </w:rPr>
        <w:t>生活垃圾设置垃圾桶分类收集，委托环卫部门清运处理；</w:t>
      </w:r>
      <w:r>
        <w:rPr>
          <w:rFonts w:hint="eastAsia" w:ascii="仿宋" w:hAnsi="仿宋" w:eastAsia="仿宋"/>
          <w:sz w:val="32"/>
          <w:szCs w:val="32"/>
          <w:lang w:val="en-US" w:eastAsia="zh-CN"/>
        </w:rPr>
        <w:t>边角料、不合格品经破碎后回用，废石英砂、废离子交换树脂、废反渗透膜、布袋除尘器收集的粉尘、废包装材料、废布袋、沉降的金属颗粒</w:t>
      </w:r>
      <w:r>
        <w:rPr>
          <w:rFonts w:hint="eastAsia" w:ascii="仿宋" w:hAnsi="仿宋" w:eastAsia="仿宋"/>
          <w:sz w:val="32"/>
          <w:szCs w:val="32"/>
          <w:lang w:val="en-US"/>
        </w:rPr>
        <w:t>统一收集外售处理；</w:t>
      </w:r>
      <w:r>
        <w:rPr>
          <w:rFonts w:hint="eastAsia" w:ascii="仿宋" w:hAnsi="仿宋" w:eastAsia="仿宋"/>
          <w:sz w:val="32"/>
          <w:szCs w:val="32"/>
          <w:lang w:val="en-US" w:eastAsia="zh-CN"/>
        </w:rPr>
        <w:t>废活性炭、废机油及废机油桶、废含油抹布、实验室器具清洗废液、一次性实验耗材、废试剂瓶、实验废液、废紫外灯管、废乳化液</w:t>
      </w:r>
      <w:r>
        <w:rPr>
          <w:rFonts w:hint="eastAsia" w:ascii="仿宋" w:hAnsi="仿宋" w:eastAsia="仿宋"/>
          <w:sz w:val="32"/>
          <w:szCs w:val="32"/>
          <w:lang w:val="en-US"/>
        </w:rPr>
        <w:t>均属于危险废物，暂存厂区危险废物暂存间，委托有资质单位处理。设置一般固暂存所（</w:t>
      </w:r>
      <w:r>
        <w:rPr>
          <w:rFonts w:hint="eastAsia" w:ascii="仿宋" w:hAnsi="仿宋" w:eastAsia="仿宋"/>
          <w:sz w:val="32"/>
          <w:szCs w:val="32"/>
          <w:lang w:val="en-US" w:eastAsia="zh-CN"/>
        </w:rPr>
        <w:t>1</w:t>
      </w:r>
      <w:r>
        <w:rPr>
          <w:rFonts w:hint="eastAsia" w:ascii="仿宋" w:hAnsi="仿宋" w:eastAsia="仿宋"/>
          <w:sz w:val="32"/>
          <w:szCs w:val="32"/>
          <w:lang w:val="en-US"/>
        </w:rPr>
        <w:t>0m</w:t>
      </w:r>
      <w:r>
        <w:rPr>
          <w:rFonts w:hint="eastAsia" w:ascii="仿宋" w:hAnsi="仿宋" w:eastAsia="仿宋"/>
          <w:sz w:val="32"/>
          <w:szCs w:val="32"/>
          <w:vertAlign w:val="superscript"/>
          <w:lang w:val="en-US"/>
        </w:rPr>
        <w:t>2</w:t>
      </w:r>
      <w:r>
        <w:rPr>
          <w:rFonts w:hint="eastAsia" w:ascii="仿宋" w:hAnsi="仿宋" w:eastAsia="仿宋"/>
          <w:sz w:val="32"/>
          <w:szCs w:val="32"/>
          <w:lang w:val="en-US"/>
        </w:rPr>
        <w:t>）、危废暂存间（</w:t>
      </w:r>
      <w:r>
        <w:rPr>
          <w:rFonts w:hint="eastAsia" w:ascii="仿宋" w:hAnsi="仿宋" w:eastAsia="仿宋"/>
          <w:sz w:val="32"/>
          <w:szCs w:val="32"/>
          <w:lang w:val="en-US" w:eastAsia="zh-CN"/>
        </w:rPr>
        <w:t>2</w:t>
      </w:r>
      <w:r>
        <w:rPr>
          <w:rFonts w:hint="eastAsia" w:ascii="仿宋" w:hAnsi="仿宋" w:eastAsia="仿宋"/>
          <w:sz w:val="32"/>
          <w:szCs w:val="32"/>
          <w:lang w:val="en-US"/>
        </w:rPr>
        <w:t>0m</w:t>
      </w:r>
      <w:r>
        <w:rPr>
          <w:rFonts w:hint="eastAsia" w:ascii="仿宋" w:hAnsi="仿宋" w:eastAsia="仿宋"/>
          <w:sz w:val="32"/>
          <w:szCs w:val="32"/>
          <w:vertAlign w:val="superscript"/>
          <w:lang w:val="en-US"/>
        </w:rPr>
        <w:t>2</w:t>
      </w:r>
      <w:r>
        <w:rPr>
          <w:rFonts w:hint="eastAsia" w:ascii="仿宋" w:hAnsi="仿宋" w:eastAsia="仿宋"/>
          <w:sz w:val="32"/>
          <w:szCs w:val="32"/>
          <w:lang w:val="en-US"/>
        </w:rPr>
        <w:t>）各一间。</w:t>
      </w:r>
    </w:p>
    <w:p w14:paraId="57BB870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5、土壤及地下水污染防治措施</w:t>
      </w:r>
      <w:r>
        <w:rPr>
          <w:rFonts w:hint="eastAsia" w:ascii="仿宋" w:hAnsi="仿宋" w:eastAsia="仿宋"/>
          <w:sz w:val="32"/>
          <w:szCs w:val="32"/>
          <w:lang w:eastAsia="zh-CN"/>
        </w:rPr>
        <w:t>：</w:t>
      </w:r>
      <w:r>
        <w:rPr>
          <w:rFonts w:hint="eastAsia" w:ascii="仿宋" w:hAnsi="仿宋" w:eastAsia="仿宋"/>
          <w:sz w:val="32"/>
          <w:szCs w:val="32"/>
          <w:lang w:val="en-US" w:eastAsia="zh-CN"/>
        </w:rPr>
        <w:t>建设单位运营期应加强对废气处理设施的维护和保养，设置专人管理，若发生非正常工况排放可做到及时发现、及时修复，短时间非正常工况排放污染物不会对周边土壤环境造成影响。危废暂存间、机油、乳化液存放区、实验室采取重点防渗措施。对生产厂房、一般固废、原料库、成品库等一般防渗区采取基底夯实、基础防渗及表层硬化措施。对办公区等简单防渗区进行地面硬化处理。</w:t>
      </w:r>
    </w:p>
    <w:p w14:paraId="58125F4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 xml:space="preserve">、若建设过程中项目的性质、规模、内容、地点、采用的工艺或者防治污染、防止生态破坏的措施发生重大变动的，应重新报批环境影响评价文件。自本批准之日起超过五年，方决定该项目开工建设的，其环境影响评价文件应当报我局重新审核。法律法规有规定的，从其规定。相关执行标准出台或修改，按新标准执行。  </w:t>
      </w:r>
    </w:p>
    <w:p w14:paraId="7CDBE7B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五</w:t>
      </w:r>
      <w:r>
        <w:rPr>
          <w:rFonts w:hint="eastAsia" w:ascii="仿宋" w:hAnsi="仿宋" w:eastAsia="仿宋"/>
          <w:sz w:val="32"/>
          <w:szCs w:val="32"/>
        </w:rPr>
        <w:t>、</w:t>
      </w:r>
      <w:r>
        <w:rPr>
          <w:rFonts w:hint="eastAsia" w:ascii="仿宋" w:hAnsi="仿宋" w:eastAsia="仿宋"/>
          <w:sz w:val="32"/>
          <w:szCs w:val="32"/>
          <w:lang w:val="en-US" w:eastAsia="zh-CN"/>
        </w:rPr>
        <w:t>项目竣工后，你公司是建设项目竣工环境保护验收的责任主体，应当按照规定的程序和标准，组织对配套建设的环境保护设施进行验收，验收合格后，项目方可正式投入运行。</w:t>
      </w:r>
    </w:p>
    <w:p w14:paraId="222A1C9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 w:hAnsi="仿宋" w:eastAsia="仿宋"/>
          <w:sz w:val="32"/>
          <w:szCs w:val="32"/>
        </w:rPr>
      </w:pPr>
      <w:r>
        <w:rPr>
          <w:rFonts w:hint="eastAsia" w:ascii="仿宋" w:hAnsi="仿宋" w:eastAsia="仿宋"/>
          <w:sz w:val="32"/>
          <w:szCs w:val="32"/>
        </w:rPr>
        <w:t>六、所在辖区</w:t>
      </w:r>
      <w:r>
        <w:rPr>
          <w:rFonts w:hint="eastAsia" w:ascii="仿宋" w:hAnsi="仿宋" w:eastAsia="仿宋"/>
          <w:sz w:val="32"/>
          <w:szCs w:val="32"/>
          <w:lang w:eastAsia="zh-CN"/>
        </w:rPr>
        <w:t>行政执法</w:t>
      </w:r>
      <w:r>
        <w:rPr>
          <w:rFonts w:hint="eastAsia" w:ascii="仿宋" w:hAnsi="仿宋" w:eastAsia="仿宋"/>
          <w:sz w:val="32"/>
          <w:szCs w:val="32"/>
        </w:rPr>
        <w:t>中队负责</w:t>
      </w:r>
      <w:bookmarkStart w:id="0" w:name="OLE_LINK1"/>
      <w:r>
        <w:rPr>
          <w:rFonts w:hint="eastAsia" w:ascii="仿宋" w:hAnsi="仿宋" w:eastAsia="仿宋"/>
          <w:sz w:val="32"/>
          <w:szCs w:val="32"/>
        </w:rPr>
        <w:t>该项目“三同时”日常监管工作，并将监管过程中出现的重大情况及时报县生态环境</w:t>
      </w:r>
      <w:r>
        <w:rPr>
          <w:rFonts w:ascii="仿宋" w:hAnsi="仿宋" w:eastAsia="仿宋"/>
          <w:sz w:val="32"/>
          <w:szCs w:val="32"/>
        </w:rPr>
        <w:t>分</w:t>
      </w:r>
      <w:r>
        <w:rPr>
          <w:rFonts w:hint="eastAsia" w:ascii="仿宋" w:hAnsi="仿宋" w:eastAsia="仿宋"/>
          <w:sz w:val="32"/>
          <w:szCs w:val="32"/>
        </w:rPr>
        <w:t>局</w:t>
      </w:r>
      <w:bookmarkEnd w:id="0"/>
      <w:r>
        <w:rPr>
          <w:rFonts w:hint="eastAsia" w:ascii="仿宋" w:hAnsi="仿宋" w:eastAsia="仿宋"/>
          <w:sz w:val="32"/>
          <w:szCs w:val="32"/>
        </w:rPr>
        <w:t>。</w:t>
      </w:r>
    </w:p>
    <w:p w14:paraId="767C0B6A">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ascii="仿宋" w:hAnsi="仿宋" w:eastAsia="仿宋"/>
          <w:sz w:val="32"/>
          <w:szCs w:val="32"/>
        </w:rPr>
      </w:pPr>
    </w:p>
    <w:p w14:paraId="1092CE19">
      <w:pPr>
        <w:spacing w:line="460" w:lineRule="exact"/>
        <w:ind w:firstLine="640" w:firstLineChars="200"/>
        <w:jc w:val="right"/>
        <w:rPr>
          <w:rFonts w:ascii="仿宋" w:hAnsi="仿宋" w:eastAsia="仿宋"/>
          <w:sz w:val="32"/>
          <w:szCs w:val="32"/>
        </w:rPr>
      </w:pPr>
    </w:p>
    <w:p w14:paraId="5484C1FA">
      <w:pPr>
        <w:spacing w:line="460" w:lineRule="exact"/>
        <w:ind w:right="320"/>
        <w:jc w:val="right"/>
        <w:rPr>
          <w:rFonts w:ascii="仿宋" w:hAnsi="仿宋" w:eastAsia="仿宋"/>
          <w:sz w:val="32"/>
          <w:szCs w:val="32"/>
        </w:rPr>
      </w:pPr>
    </w:p>
    <w:p w14:paraId="250AE4F0">
      <w:pPr>
        <w:spacing w:line="460" w:lineRule="exact"/>
        <w:ind w:right="320"/>
        <w:jc w:val="right"/>
        <w:rPr>
          <w:rFonts w:hint="eastAsia" w:ascii="仿宋" w:hAnsi="仿宋" w:eastAsia="仿宋"/>
          <w:sz w:val="32"/>
          <w:szCs w:val="32"/>
        </w:rPr>
      </w:pPr>
      <w:r>
        <w:rPr>
          <w:rFonts w:hint="eastAsia" w:ascii="仿宋" w:hAnsi="仿宋" w:eastAsia="仿宋"/>
          <w:sz w:val="32"/>
          <w:szCs w:val="32"/>
        </w:rPr>
        <w:t xml:space="preserve"> </w:t>
      </w:r>
    </w:p>
    <w:p w14:paraId="63F26112">
      <w:pPr>
        <w:spacing w:line="460" w:lineRule="exact"/>
        <w:ind w:right="320"/>
        <w:jc w:val="right"/>
        <w:rPr>
          <w:rFonts w:ascii="仿宋" w:hAnsi="仿宋" w:eastAsia="仿宋"/>
          <w:sz w:val="32"/>
          <w:szCs w:val="32"/>
        </w:rPr>
      </w:pPr>
      <w:r>
        <w:rPr>
          <w:rFonts w:hint="eastAsia" w:ascii="仿宋" w:hAnsi="仿宋" w:eastAsia="仿宋"/>
          <w:sz w:val="32"/>
          <w:szCs w:val="32"/>
        </w:rPr>
        <w:t xml:space="preserve">宿州市砀山县生态环境分局                      </w:t>
      </w:r>
    </w:p>
    <w:p w14:paraId="445D09BA">
      <w:pPr>
        <w:spacing w:line="460" w:lineRule="exact"/>
        <w:ind w:right="800"/>
        <w:jc w:val="right"/>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27</w:t>
      </w:r>
      <w:r>
        <w:rPr>
          <w:rFonts w:hint="eastAsia" w:ascii="仿宋" w:hAnsi="仿宋" w:eastAsia="仿宋"/>
          <w:sz w:val="32"/>
          <w:szCs w:val="32"/>
        </w:rPr>
        <w:t>日</w:t>
      </w:r>
    </w:p>
    <w:p w14:paraId="02625DFC">
      <w:pPr>
        <w:adjustRightInd w:val="0"/>
        <w:snapToGrid w:val="0"/>
        <w:spacing w:line="360" w:lineRule="auto"/>
        <w:jc w:val="left"/>
        <w:rPr>
          <w:rFonts w:ascii="仿宋_GB2312" w:hAnsi="仿宋_GB2312" w:eastAsia="仿宋_GB2312"/>
          <w:sz w:val="32"/>
          <w:u w:val="thick"/>
        </w:rPr>
      </w:pPr>
    </w:p>
    <w:p w14:paraId="0C8BEAA8">
      <w:pPr>
        <w:pStyle w:val="4"/>
      </w:pPr>
    </w:p>
    <w:p w14:paraId="4A030182">
      <w:pPr>
        <w:adjustRightInd w:val="0"/>
        <w:snapToGrid w:val="0"/>
        <w:spacing w:line="360" w:lineRule="auto"/>
        <w:jc w:val="left"/>
      </w:pPr>
    </w:p>
    <w:p w14:paraId="19B03D71">
      <w:pPr>
        <w:adjustRightInd w:val="0"/>
        <w:snapToGrid w:val="0"/>
        <w:spacing w:line="360" w:lineRule="auto"/>
        <w:jc w:val="left"/>
        <w:rPr>
          <w:rFonts w:ascii="仿宋_GB2312" w:hAnsi="仿宋_GB2312" w:eastAsia="仿宋_GB2312"/>
          <w:sz w:val="32"/>
          <w:u w:val="thick"/>
        </w:rPr>
      </w:pPr>
    </w:p>
    <w:p w14:paraId="6586344F">
      <w:pPr>
        <w:adjustRightInd w:val="0"/>
        <w:snapToGrid w:val="0"/>
        <w:spacing w:line="360" w:lineRule="auto"/>
        <w:jc w:val="left"/>
        <w:rPr>
          <w:rFonts w:ascii="仿宋_GB2312" w:hAnsi="仿宋_GB2312" w:eastAsia="仿宋_GB2312"/>
          <w:sz w:val="32"/>
          <w:u w:val="thick"/>
        </w:rPr>
      </w:pPr>
    </w:p>
    <w:p w14:paraId="3F2D9321">
      <w:pPr>
        <w:adjustRightInd w:val="0"/>
        <w:snapToGrid w:val="0"/>
        <w:spacing w:line="360" w:lineRule="auto"/>
        <w:jc w:val="left"/>
        <w:rPr>
          <w:rFonts w:ascii="仿宋_GB2312" w:hAnsi="仿宋_GB2312" w:eastAsia="仿宋_GB2312"/>
          <w:sz w:val="32"/>
          <w:u w:val="thick"/>
        </w:rPr>
      </w:pPr>
      <w:r>
        <w:rPr>
          <w:rFonts w:ascii="仿宋_GB2312" w:hAnsi="仿宋_GB2312" w:eastAsia="仿宋_GB2312"/>
          <w:sz w:val="32"/>
          <w:u w:val="thick"/>
        </w:rPr>
        <w:t xml:space="preserve">                                                      </w:t>
      </w:r>
    </w:p>
    <w:p w14:paraId="0468334C">
      <w:pPr>
        <w:adjustRightInd w:val="0"/>
        <w:snapToGrid w:val="0"/>
        <w:spacing w:line="360" w:lineRule="auto"/>
        <w:jc w:val="left"/>
        <w:rPr>
          <w:rFonts w:ascii="仿宋" w:hAnsi="仿宋" w:eastAsia="仿宋" w:cs="仿宋"/>
          <w:bCs/>
          <w:sz w:val="30"/>
          <w:szCs w:val="30"/>
          <w:u w:val="single"/>
        </w:rPr>
      </w:pPr>
      <w:r>
        <w:rPr>
          <w:rFonts w:hint="eastAsia" w:ascii="仿宋" w:hAnsi="仿宋" w:eastAsia="仿宋" w:cs="仿宋"/>
          <w:bCs/>
          <w:sz w:val="28"/>
          <w:szCs w:val="28"/>
          <w:u w:val="single"/>
        </w:rPr>
        <w:t>抄：县</w:t>
      </w:r>
      <w:r>
        <w:rPr>
          <w:rFonts w:hint="eastAsia" w:ascii="仿宋" w:hAnsi="仿宋" w:eastAsia="仿宋" w:cs="仿宋"/>
          <w:sz w:val="28"/>
          <w:szCs w:val="28"/>
          <w:u w:val="single"/>
        </w:rPr>
        <w:t>生态环境</w:t>
      </w:r>
      <w:r>
        <w:rPr>
          <w:rFonts w:hint="eastAsia" w:ascii="仿宋" w:hAnsi="仿宋" w:eastAsia="仿宋" w:cs="仿宋"/>
          <w:sz w:val="28"/>
          <w:szCs w:val="28"/>
          <w:u w:val="single"/>
          <w:lang w:eastAsia="zh-CN"/>
        </w:rPr>
        <w:t>行政执法</w:t>
      </w:r>
      <w:r>
        <w:rPr>
          <w:rFonts w:hint="eastAsia" w:ascii="仿宋" w:hAnsi="仿宋" w:eastAsia="仿宋" w:cs="仿宋"/>
          <w:bCs/>
          <w:sz w:val="28"/>
          <w:szCs w:val="28"/>
          <w:u w:val="single"/>
        </w:rPr>
        <w:t>大队，安徽</w:t>
      </w:r>
      <w:r>
        <w:rPr>
          <w:rFonts w:hint="eastAsia" w:ascii="仿宋" w:hAnsi="仿宋" w:eastAsia="仿宋" w:cs="仿宋"/>
          <w:bCs/>
          <w:sz w:val="28"/>
          <w:szCs w:val="28"/>
          <w:u w:val="single"/>
          <w:lang w:val="en-US" w:eastAsia="zh-CN"/>
        </w:rPr>
        <w:t>山之青</w:t>
      </w:r>
      <w:r>
        <w:rPr>
          <w:rFonts w:hint="eastAsia" w:ascii="仿宋" w:hAnsi="仿宋" w:eastAsia="仿宋" w:cs="仿宋"/>
          <w:bCs/>
          <w:sz w:val="28"/>
          <w:szCs w:val="28"/>
          <w:u w:val="single"/>
        </w:rPr>
        <w:t xml:space="preserve">环保科技有限公司。                                                                                 </w:t>
      </w:r>
      <w:r>
        <w:rPr>
          <w:rFonts w:hint="eastAsia" w:ascii="仿宋" w:hAnsi="仿宋" w:eastAsia="仿宋" w:cs="仿宋"/>
          <w:sz w:val="28"/>
          <w:szCs w:val="28"/>
          <w:u w:val="thick"/>
        </w:rPr>
        <w:t xml:space="preserve"> 宿州市砀山县生态环境分局办公室　</w:t>
      </w:r>
      <w:r>
        <w:rPr>
          <w:rFonts w:hint="eastAsia" w:ascii="仿宋" w:hAnsi="仿宋" w:eastAsia="仿宋" w:cs="仿宋"/>
          <w:sz w:val="28"/>
          <w:szCs w:val="28"/>
          <w:u w:val="thick"/>
          <w:lang w:val="en-US" w:eastAsia="zh-CN"/>
        </w:rPr>
        <w:t xml:space="preserve">       </w:t>
      </w:r>
      <w:r>
        <w:rPr>
          <w:rFonts w:hint="eastAsia" w:ascii="仿宋" w:hAnsi="仿宋" w:eastAsia="仿宋" w:cs="仿宋"/>
          <w:sz w:val="28"/>
          <w:szCs w:val="28"/>
          <w:u w:val="thick"/>
        </w:rPr>
        <w:t>202</w:t>
      </w:r>
      <w:r>
        <w:rPr>
          <w:rFonts w:hint="eastAsia" w:ascii="仿宋" w:hAnsi="仿宋" w:eastAsia="仿宋" w:cs="仿宋"/>
          <w:sz w:val="28"/>
          <w:szCs w:val="28"/>
          <w:u w:val="thick"/>
          <w:lang w:val="en-US" w:eastAsia="zh-CN"/>
        </w:rPr>
        <w:t>6</w:t>
      </w:r>
      <w:r>
        <w:rPr>
          <w:rFonts w:hint="eastAsia" w:ascii="仿宋" w:hAnsi="仿宋" w:eastAsia="仿宋" w:cs="仿宋"/>
          <w:sz w:val="28"/>
          <w:szCs w:val="28"/>
          <w:u w:val="thick"/>
        </w:rPr>
        <w:t>年</w:t>
      </w:r>
      <w:r>
        <w:rPr>
          <w:rFonts w:hint="eastAsia" w:ascii="仿宋" w:hAnsi="仿宋" w:eastAsia="仿宋" w:cs="仿宋"/>
          <w:sz w:val="28"/>
          <w:szCs w:val="28"/>
          <w:u w:val="thick"/>
          <w:lang w:val="en-US" w:eastAsia="zh-CN"/>
        </w:rPr>
        <w:t>3</w:t>
      </w:r>
      <w:r>
        <w:rPr>
          <w:rFonts w:hint="eastAsia" w:ascii="仿宋" w:hAnsi="仿宋" w:eastAsia="仿宋" w:cs="仿宋"/>
          <w:sz w:val="28"/>
          <w:szCs w:val="28"/>
          <w:u w:val="thick"/>
        </w:rPr>
        <w:t>月</w:t>
      </w:r>
      <w:r>
        <w:rPr>
          <w:rFonts w:hint="eastAsia" w:ascii="仿宋" w:hAnsi="仿宋" w:eastAsia="仿宋" w:cs="仿宋"/>
          <w:sz w:val="28"/>
          <w:szCs w:val="28"/>
          <w:u w:val="thick"/>
          <w:lang w:val="en-US" w:eastAsia="zh-CN"/>
        </w:rPr>
        <w:t>27</w:t>
      </w:r>
      <w:r>
        <w:rPr>
          <w:rFonts w:hint="eastAsia" w:ascii="仿宋" w:hAnsi="仿宋" w:eastAsia="仿宋" w:cs="仿宋"/>
          <w:sz w:val="28"/>
          <w:szCs w:val="28"/>
          <w:u w:val="thick"/>
        </w:rPr>
        <w:t xml:space="preserve">日印发  </w:t>
      </w:r>
      <w:r>
        <w:rPr>
          <w:rFonts w:hint="eastAsia" w:ascii="仿宋" w:hAnsi="仿宋" w:eastAsia="仿宋" w:cs="仿宋"/>
          <w:sz w:val="28"/>
          <w:szCs w:val="28"/>
          <w:u w:val="thick"/>
          <w:lang w:val="en-US" w:eastAsia="zh-CN"/>
        </w:rPr>
        <w:t xml:space="preserve">      </w:t>
      </w:r>
      <w:r>
        <w:rPr>
          <w:rFonts w:hint="eastAsia" w:ascii="仿宋_GB2312" w:hAnsi="华文仿宋" w:eastAsia="仿宋_GB2312"/>
          <w:sz w:val="30"/>
          <w:szCs w:val="30"/>
          <w:u w:val="thick"/>
        </w:rPr>
        <w:t xml:space="preserve">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等线">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565"/>
    <w:rsid w:val="00012E49"/>
    <w:rsid w:val="00020CD3"/>
    <w:rsid w:val="0002468F"/>
    <w:rsid w:val="00030A7F"/>
    <w:rsid w:val="00032B2D"/>
    <w:rsid w:val="00035093"/>
    <w:rsid w:val="00037923"/>
    <w:rsid w:val="00040A6F"/>
    <w:rsid w:val="00040D81"/>
    <w:rsid w:val="00042933"/>
    <w:rsid w:val="00053DB4"/>
    <w:rsid w:val="00057501"/>
    <w:rsid w:val="00061ED8"/>
    <w:rsid w:val="0006297E"/>
    <w:rsid w:val="00073535"/>
    <w:rsid w:val="00073DB6"/>
    <w:rsid w:val="000746BA"/>
    <w:rsid w:val="00076D22"/>
    <w:rsid w:val="000831C8"/>
    <w:rsid w:val="00087441"/>
    <w:rsid w:val="00090711"/>
    <w:rsid w:val="00091D82"/>
    <w:rsid w:val="0009259F"/>
    <w:rsid w:val="000A25F1"/>
    <w:rsid w:val="000A3E0D"/>
    <w:rsid w:val="000A53BC"/>
    <w:rsid w:val="000B60B2"/>
    <w:rsid w:val="000C1935"/>
    <w:rsid w:val="000C1DBA"/>
    <w:rsid w:val="000C6C56"/>
    <w:rsid w:val="000C780F"/>
    <w:rsid w:val="000C7FCE"/>
    <w:rsid w:val="000D07A0"/>
    <w:rsid w:val="000D1320"/>
    <w:rsid w:val="000D5E2B"/>
    <w:rsid w:val="000D5E5A"/>
    <w:rsid w:val="000D69D0"/>
    <w:rsid w:val="000E00D7"/>
    <w:rsid w:val="000E0B55"/>
    <w:rsid w:val="000E35F6"/>
    <w:rsid w:val="000E3789"/>
    <w:rsid w:val="000E37A6"/>
    <w:rsid w:val="000E43C3"/>
    <w:rsid w:val="000F3C21"/>
    <w:rsid w:val="000F4484"/>
    <w:rsid w:val="001044DD"/>
    <w:rsid w:val="00105D54"/>
    <w:rsid w:val="00112BB3"/>
    <w:rsid w:val="00114CF6"/>
    <w:rsid w:val="00116161"/>
    <w:rsid w:val="00117E8B"/>
    <w:rsid w:val="00121467"/>
    <w:rsid w:val="00121D61"/>
    <w:rsid w:val="00123D31"/>
    <w:rsid w:val="001252C9"/>
    <w:rsid w:val="001258B3"/>
    <w:rsid w:val="001275A8"/>
    <w:rsid w:val="00130563"/>
    <w:rsid w:val="0013608B"/>
    <w:rsid w:val="001405F5"/>
    <w:rsid w:val="00143D2A"/>
    <w:rsid w:val="0014474D"/>
    <w:rsid w:val="00145483"/>
    <w:rsid w:val="00146165"/>
    <w:rsid w:val="0015307B"/>
    <w:rsid w:val="0015445A"/>
    <w:rsid w:val="00156794"/>
    <w:rsid w:val="001572FE"/>
    <w:rsid w:val="00161358"/>
    <w:rsid w:val="00163240"/>
    <w:rsid w:val="001643CA"/>
    <w:rsid w:val="00173D46"/>
    <w:rsid w:val="00176DB3"/>
    <w:rsid w:val="00180BF0"/>
    <w:rsid w:val="00195409"/>
    <w:rsid w:val="00195E06"/>
    <w:rsid w:val="001A0A85"/>
    <w:rsid w:val="001A5858"/>
    <w:rsid w:val="001B1294"/>
    <w:rsid w:val="001B4166"/>
    <w:rsid w:val="001C1801"/>
    <w:rsid w:val="001C1BA8"/>
    <w:rsid w:val="001C31D0"/>
    <w:rsid w:val="001C3A22"/>
    <w:rsid w:val="001C5505"/>
    <w:rsid w:val="001C7C77"/>
    <w:rsid w:val="001D55F4"/>
    <w:rsid w:val="001F56F2"/>
    <w:rsid w:val="001F670E"/>
    <w:rsid w:val="001F7530"/>
    <w:rsid w:val="002005EC"/>
    <w:rsid w:val="00201FAC"/>
    <w:rsid w:val="00202D71"/>
    <w:rsid w:val="002037D1"/>
    <w:rsid w:val="00206D8A"/>
    <w:rsid w:val="00211845"/>
    <w:rsid w:val="002224CB"/>
    <w:rsid w:val="00223969"/>
    <w:rsid w:val="002271BB"/>
    <w:rsid w:val="00231778"/>
    <w:rsid w:val="00237F50"/>
    <w:rsid w:val="00240C8F"/>
    <w:rsid w:val="00241572"/>
    <w:rsid w:val="0024368E"/>
    <w:rsid w:val="00245B3F"/>
    <w:rsid w:val="00246A8F"/>
    <w:rsid w:val="00251121"/>
    <w:rsid w:val="00251691"/>
    <w:rsid w:val="002568F1"/>
    <w:rsid w:val="00260F76"/>
    <w:rsid w:val="00267209"/>
    <w:rsid w:val="00270605"/>
    <w:rsid w:val="002745DA"/>
    <w:rsid w:val="0028002B"/>
    <w:rsid w:val="00283685"/>
    <w:rsid w:val="002908C6"/>
    <w:rsid w:val="00296A28"/>
    <w:rsid w:val="00297F70"/>
    <w:rsid w:val="002A3609"/>
    <w:rsid w:val="002A41E5"/>
    <w:rsid w:val="002A761F"/>
    <w:rsid w:val="002B5A2F"/>
    <w:rsid w:val="002B6BCE"/>
    <w:rsid w:val="002C568B"/>
    <w:rsid w:val="002C5B2E"/>
    <w:rsid w:val="002D2E7D"/>
    <w:rsid w:val="002D39EF"/>
    <w:rsid w:val="002D5EF6"/>
    <w:rsid w:val="002D648E"/>
    <w:rsid w:val="002E52C1"/>
    <w:rsid w:val="002E6842"/>
    <w:rsid w:val="002F15F5"/>
    <w:rsid w:val="002F2354"/>
    <w:rsid w:val="002F2A3E"/>
    <w:rsid w:val="002F6960"/>
    <w:rsid w:val="003014F4"/>
    <w:rsid w:val="00303A9E"/>
    <w:rsid w:val="00305E2C"/>
    <w:rsid w:val="00312038"/>
    <w:rsid w:val="0031267C"/>
    <w:rsid w:val="00331A38"/>
    <w:rsid w:val="003340D2"/>
    <w:rsid w:val="0034079B"/>
    <w:rsid w:val="0034225F"/>
    <w:rsid w:val="00345984"/>
    <w:rsid w:val="00345CEE"/>
    <w:rsid w:val="00351C88"/>
    <w:rsid w:val="00354154"/>
    <w:rsid w:val="0035462E"/>
    <w:rsid w:val="0035545F"/>
    <w:rsid w:val="00355D89"/>
    <w:rsid w:val="00356D6F"/>
    <w:rsid w:val="00357C02"/>
    <w:rsid w:val="00357E84"/>
    <w:rsid w:val="003628CA"/>
    <w:rsid w:val="003647F2"/>
    <w:rsid w:val="003676B5"/>
    <w:rsid w:val="00373829"/>
    <w:rsid w:val="003741C9"/>
    <w:rsid w:val="00374792"/>
    <w:rsid w:val="00382F06"/>
    <w:rsid w:val="00383858"/>
    <w:rsid w:val="00384F65"/>
    <w:rsid w:val="003855DA"/>
    <w:rsid w:val="003939E1"/>
    <w:rsid w:val="003A0226"/>
    <w:rsid w:val="003A71FC"/>
    <w:rsid w:val="003B2D7C"/>
    <w:rsid w:val="003B323F"/>
    <w:rsid w:val="003B3E95"/>
    <w:rsid w:val="003B42AE"/>
    <w:rsid w:val="003B44F3"/>
    <w:rsid w:val="003B4BC1"/>
    <w:rsid w:val="003C0384"/>
    <w:rsid w:val="003C1141"/>
    <w:rsid w:val="003C6919"/>
    <w:rsid w:val="003D0C17"/>
    <w:rsid w:val="003D449D"/>
    <w:rsid w:val="003D491C"/>
    <w:rsid w:val="003E25B7"/>
    <w:rsid w:val="003E2804"/>
    <w:rsid w:val="003E74C2"/>
    <w:rsid w:val="003F0FF1"/>
    <w:rsid w:val="003F3C76"/>
    <w:rsid w:val="003F4240"/>
    <w:rsid w:val="00403C8E"/>
    <w:rsid w:val="00407301"/>
    <w:rsid w:val="00413057"/>
    <w:rsid w:val="0041554D"/>
    <w:rsid w:val="00416733"/>
    <w:rsid w:val="00416D23"/>
    <w:rsid w:val="004215BC"/>
    <w:rsid w:val="00421ACE"/>
    <w:rsid w:val="00432539"/>
    <w:rsid w:val="00432D8F"/>
    <w:rsid w:val="00434EBB"/>
    <w:rsid w:val="00437BE3"/>
    <w:rsid w:val="00442B9E"/>
    <w:rsid w:val="004434EC"/>
    <w:rsid w:val="00446F9F"/>
    <w:rsid w:val="00447E5F"/>
    <w:rsid w:val="004526EA"/>
    <w:rsid w:val="00457F15"/>
    <w:rsid w:val="00466483"/>
    <w:rsid w:val="00473F7B"/>
    <w:rsid w:val="00474C8A"/>
    <w:rsid w:val="0048073E"/>
    <w:rsid w:val="00481717"/>
    <w:rsid w:val="00490AF8"/>
    <w:rsid w:val="00491A32"/>
    <w:rsid w:val="004A58FF"/>
    <w:rsid w:val="004A7E37"/>
    <w:rsid w:val="004B5CD4"/>
    <w:rsid w:val="004C07D0"/>
    <w:rsid w:val="004C33E4"/>
    <w:rsid w:val="004C34B6"/>
    <w:rsid w:val="004C402F"/>
    <w:rsid w:val="004C700F"/>
    <w:rsid w:val="004C79AF"/>
    <w:rsid w:val="004D5E83"/>
    <w:rsid w:val="004D6110"/>
    <w:rsid w:val="004D7E8A"/>
    <w:rsid w:val="004E1281"/>
    <w:rsid w:val="004E4C15"/>
    <w:rsid w:val="004E5C99"/>
    <w:rsid w:val="004F64A3"/>
    <w:rsid w:val="0050074A"/>
    <w:rsid w:val="00500807"/>
    <w:rsid w:val="0050180B"/>
    <w:rsid w:val="0050289D"/>
    <w:rsid w:val="005131AB"/>
    <w:rsid w:val="00513326"/>
    <w:rsid w:val="005135DF"/>
    <w:rsid w:val="005165F9"/>
    <w:rsid w:val="00516766"/>
    <w:rsid w:val="0052053B"/>
    <w:rsid w:val="005317CD"/>
    <w:rsid w:val="00531E46"/>
    <w:rsid w:val="00532D7C"/>
    <w:rsid w:val="00536D41"/>
    <w:rsid w:val="005466A5"/>
    <w:rsid w:val="00550686"/>
    <w:rsid w:val="005507D7"/>
    <w:rsid w:val="00550954"/>
    <w:rsid w:val="0055397A"/>
    <w:rsid w:val="00554B0D"/>
    <w:rsid w:val="00560485"/>
    <w:rsid w:val="00564249"/>
    <w:rsid w:val="005672BC"/>
    <w:rsid w:val="00575070"/>
    <w:rsid w:val="005842FD"/>
    <w:rsid w:val="00595181"/>
    <w:rsid w:val="005A3893"/>
    <w:rsid w:val="005B5EFC"/>
    <w:rsid w:val="005B7FE2"/>
    <w:rsid w:val="005C12BA"/>
    <w:rsid w:val="005C16EA"/>
    <w:rsid w:val="005C2376"/>
    <w:rsid w:val="005D1965"/>
    <w:rsid w:val="005D2634"/>
    <w:rsid w:val="005D280D"/>
    <w:rsid w:val="005D32C5"/>
    <w:rsid w:val="005D406F"/>
    <w:rsid w:val="005D4D23"/>
    <w:rsid w:val="005D70EA"/>
    <w:rsid w:val="005E0FC5"/>
    <w:rsid w:val="005E3964"/>
    <w:rsid w:val="005E50EE"/>
    <w:rsid w:val="005E7864"/>
    <w:rsid w:val="005F3CBB"/>
    <w:rsid w:val="005F5842"/>
    <w:rsid w:val="0060054C"/>
    <w:rsid w:val="006011BD"/>
    <w:rsid w:val="00601B2A"/>
    <w:rsid w:val="006036FF"/>
    <w:rsid w:val="00611F34"/>
    <w:rsid w:val="006139C5"/>
    <w:rsid w:val="0062590A"/>
    <w:rsid w:val="00630D2E"/>
    <w:rsid w:val="006325B9"/>
    <w:rsid w:val="00632639"/>
    <w:rsid w:val="00632FFE"/>
    <w:rsid w:val="00643215"/>
    <w:rsid w:val="00643E86"/>
    <w:rsid w:val="0064673E"/>
    <w:rsid w:val="00655DD7"/>
    <w:rsid w:val="0065763C"/>
    <w:rsid w:val="006619A9"/>
    <w:rsid w:val="00661A3C"/>
    <w:rsid w:val="0066595F"/>
    <w:rsid w:val="00670052"/>
    <w:rsid w:val="00672172"/>
    <w:rsid w:val="00681E36"/>
    <w:rsid w:val="00682777"/>
    <w:rsid w:val="00683DF8"/>
    <w:rsid w:val="00691FA0"/>
    <w:rsid w:val="00692816"/>
    <w:rsid w:val="00693C26"/>
    <w:rsid w:val="00693D72"/>
    <w:rsid w:val="006A10EB"/>
    <w:rsid w:val="006B2918"/>
    <w:rsid w:val="006B2938"/>
    <w:rsid w:val="006B42EF"/>
    <w:rsid w:val="006C0BA8"/>
    <w:rsid w:val="006C2803"/>
    <w:rsid w:val="006C5F21"/>
    <w:rsid w:val="006C6435"/>
    <w:rsid w:val="006D1020"/>
    <w:rsid w:val="006D6B2A"/>
    <w:rsid w:val="006E13FB"/>
    <w:rsid w:val="006E1884"/>
    <w:rsid w:val="006E249A"/>
    <w:rsid w:val="006F1195"/>
    <w:rsid w:val="006F63A4"/>
    <w:rsid w:val="006F6C32"/>
    <w:rsid w:val="00707474"/>
    <w:rsid w:val="0071281D"/>
    <w:rsid w:val="00715813"/>
    <w:rsid w:val="007216B2"/>
    <w:rsid w:val="00724081"/>
    <w:rsid w:val="007249F2"/>
    <w:rsid w:val="00726D59"/>
    <w:rsid w:val="00730F0D"/>
    <w:rsid w:val="007370D7"/>
    <w:rsid w:val="007371B3"/>
    <w:rsid w:val="00741B5A"/>
    <w:rsid w:val="007429AE"/>
    <w:rsid w:val="00744478"/>
    <w:rsid w:val="00747CFF"/>
    <w:rsid w:val="00750071"/>
    <w:rsid w:val="00752EF1"/>
    <w:rsid w:val="00756253"/>
    <w:rsid w:val="00764836"/>
    <w:rsid w:val="007702C7"/>
    <w:rsid w:val="007730CC"/>
    <w:rsid w:val="0077336C"/>
    <w:rsid w:val="0078675E"/>
    <w:rsid w:val="00791CE7"/>
    <w:rsid w:val="00797768"/>
    <w:rsid w:val="007A2729"/>
    <w:rsid w:val="007A3B29"/>
    <w:rsid w:val="007B2C34"/>
    <w:rsid w:val="007B4A87"/>
    <w:rsid w:val="007C1D1B"/>
    <w:rsid w:val="007C451C"/>
    <w:rsid w:val="007D5543"/>
    <w:rsid w:val="007D5969"/>
    <w:rsid w:val="007E1DD0"/>
    <w:rsid w:val="007E3D10"/>
    <w:rsid w:val="007E5DB3"/>
    <w:rsid w:val="007E76DF"/>
    <w:rsid w:val="007F7298"/>
    <w:rsid w:val="007F774B"/>
    <w:rsid w:val="00800480"/>
    <w:rsid w:val="0080402B"/>
    <w:rsid w:val="00806BC9"/>
    <w:rsid w:val="00807D4B"/>
    <w:rsid w:val="00807F22"/>
    <w:rsid w:val="00810343"/>
    <w:rsid w:val="00811C5D"/>
    <w:rsid w:val="00815080"/>
    <w:rsid w:val="008162A8"/>
    <w:rsid w:val="00821615"/>
    <w:rsid w:val="008222C3"/>
    <w:rsid w:val="008302CB"/>
    <w:rsid w:val="00837E46"/>
    <w:rsid w:val="00841511"/>
    <w:rsid w:val="008458D9"/>
    <w:rsid w:val="008512B5"/>
    <w:rsid w:val="00865C95"/>
    <w:rsid w:val="0087643A"/>
    <w:rsid w:val="00876C76"/>
    <w:rsid w:val="00884E00"/>
    <w:rsid w:val="00886F95"/>
    <w:rsid w:val="00890109"/>
    <w:rsid w:val="0089114D"/>
    <w:rsid w:val="00893CF9"/>
    <w:rsid w:val="00896CAF"/>
    <w:rsid w:val="00897150"/>
    <w:rsid w:val="008A147A"/>
    <w:rsid w:val="008A3034"/>
    <w:rsid w:val="008A35F3"/>
    <w:rsid w:val="008A7922"/>
    <w:rsid w:val="008B2DA0"/>
    <w:rsid w:val="008B311F"/>
    <w:rsid w:val="008C0597"/>
    <w:rsid w:val="008C0839"/>
    <w:rsid w:val="008C1147"/>
    <w:rsid w:val="008C1189"/>
    <w:rsid w:val="008C44DC"/>
    <w:rsid w:val="008D0EF9"/>
    <w:rsid w:val="008D2339"/>
    <w:rsid w:val="008D2DFA"/>
    <w:rsid w:val="008D4313"/>
    <w:rsid w:val="008D5853"/>
    <w:rsid w:val="008D5E56"/>
    <w:rsid w:val="008D6393"/>
    <w:rsid w:val="008D757F"/>
    <w:rsid w:val="008F524C"/>
    <w:rsid w:val="008F6284"/>
    <w:rsid w:val="0090764E"/>
    <w:rsid w:val="00913052"/>
    <w:rsid w:val="009134AB"/>
    <w:rsid w:val="0091605D"/>
    <w:rsid w:val="00916EB9"/>
    <w:rsid w:val="009202D8"/>
    <w:rsid w:val="00923EAB"/>
    <w:rsid w:val="00925AD6"/>
    <w:rsid w:val="0092717C"/>
    <w:rsid w:val="00933D5D"/>
    <w:rsid w:val="0093497E"/>
    <w:rsid w:val="00940A24"/>
    <w:rsid w:val="00940B52"/>
    <w:rsid w:val="009461E5"/>
    <w:rsid w:val="009466B1"/>
    <w:rsid w:val="0094712F"/>
    <w:rsid w:val="00947374"/>
    <w:rsid w:val="00954A32"/>
    <w:rsid w:val="00956D12"/>
    <w:rsid w:val="00961FAC"/>
    <w:rsid w:val="009640E5"/>
    <w:rsid w:val="00965A8C"/>
    <w:rsid w:val="00971A54"/>
    <w:rsid w:val="0097313B"/>
    <w:rsid w:val="009818AB"/>
    <w:rsid w:val="00982CFA"/>
    <w:rsid w:val="00983CE3"/>
    <w:rsid w:val="00984E96"/>
    <w:rsid w:val="00985782"/>
    <w:rsid w:val="00987E65"/>
    <w:rsid w:val="009972F5"/>
    <w:rsid w:val="009A0CE9"/>
    <w:rsid w:val="009A16E1"/>
    <w:rsid w:val="009A5501"/>
    <w:rsid w:val="009A57F4"/>
    <w:rsid w:val="009B6098"/>
    <w:rsid w:val="009C0B7E"/>
    <w:rsid w:val="009C0C4A"/>
    <w:rsid w:val="009C2183"/>
    <w:rsid w:val="009C5300"/>
    <w:rsid w:val="009C5335"/>
    <w:rsid w:val="009D154B"/>
    <w:rsid w:val="009D4508"/>
    <w:rsid w:val="009D58AF"/>
    <w:rsid w:val="009E4BBE"/>
    <w:rsid w:val="009E53AB"/>
    <w:rsid w:val="009E736F"/>
    <w:rsid w:val="009F0019"/>
    <w:rsid w:val="009F4004"/>
    <w:rsid w:val="00A01AB6"/>
    <w:rsid w:val="00A03110"/>
    <w:rsid w:val="00A04388"/>
    <w:rsid w:val="00A04FF1"/>
    <w:rsid w:val="00A05E80"/>
    <w:rsid w:val="00A130E3"/>
    <w:rsid w:val="00A16B6A"/>
    <w:rsid w:val="00A24C07"/>
    <w:rsid w:val="00A26D83"/>
    <w:rsid w:val="00A31FB5"/>
    <w:rsid w:val="00A364BD"/>
    <w:rsid w:val="00A37412"/>
    <w:rsid w:val="00A41439"/>
    <w:rsid w:val="00A431B1"/>
    <w:rsid w:val="00A5009B"/>
    <w:rsid w:val="00A52A55"/>
    <w:rsid w:val="00A538B1"/>
    <w:rsid w:val="00A540A5"/>
    <w:rsid w:val="00A57068"/>
    <w:rsid w:val="00A60339"/>
    <w:rsid w:val="00A61714"/>
    <w:rsid w:val="00A67639"/>
    <w:rsid w:val="00A7169B"/>
    <w:rsid w:val="00A74E08"/>
    <w:rsid w:val="00A83D16"/>
    <w:rsid w:val="00A86E12"/>
    <w:rsid w:val="00A87DDF"/>
    <w:rsid w:val="00A9341A"/>
    <w:rsid w:val="00AA0867"/>
    <w:rsid w:val="00AA295D"/>
    <w:rsid w:val="00AA4CA9"/>
    <w:rsid w:val="00AA7EE7"/>
    <w:rsid w:val="00AB62DB"/>
    <w:rsid w:val="00AB77CB"/>
    <w:rsid w:val="00AC18CE"/>
    <w:rsid w:val="00AC3494"/>
    <w:rsid w:val="00AC4746"/>
    <w:rsid w:val="00AC4837"/>
    <w:rsid w:val="00AC6ACD"/>
    <w:rsid w:val="00AD29A1"/>
    <w:rsid w:val="00AE15B6"/>
    <w:rsid w:val="00AE3CB1"/>
    <w:rsid w:val="00AE6D3F"/>
    <w:rsid w:val="00B004AF"/>
    <w:rsid w:val="00B0231E"/>
    <w:rsid w:val="00B075E7"/>
    <w:rsid w:val="00B12206"/>
    <w:rsid w:val="00B131D1"/>
    <w:rsid w:val="00B140E3"/>
    <w:rsid w:val="00B14C07"/>
    <w:rsid w:val="00B15E15"/>
    <w:rsid w:val="00B209DC"/>
    <w:rsid w:val="00B23473"/>
    <w:rsid w:val="00B2637E"/>
    <w:rsid w:val="00B31D2F"/>
    <w:rsid w:val="00B36D13"/>
    <w:rsid w:val="00B37771"/>
    <w:rsid w:val="00B37796"/>
    <w:rsid w:val="00B40DED"/>
    <w:rsid w:val="00B44EFD"/>
    <w:rsid w:val="00B460F1"/>
    <w:rsid w:val="00B5388C"/>
    <w:rsid w:val="00B544D9"/>
    <w:rsid w:val="00B5731B"/>
    <w:rsid w:val="00B606E6"/>
    <w:rsid w:val="00B75F8A"/>
    <w:rsid w:val="00B81AFA"/>
    <w:rsid w:val="00B85E74"/>
    <w:rsid w:val="00B9280F"/>
    <w:rsid w:val="00B9519E"/>
    <w:rsid w:val="00BA0E30"/>
    <w:rsid w:val="00BA522E"/>
    <w:rsid w:val="00BB1980"/>
    <w:rsid w:val="00BB1A72"/>
    <w:rsid w:val="00BB274E"/>
    <w:rsid w:val="00BB4237"/>
    <w:rsid w:val="00BB7370"/>
    <w:rsid w:val="00BC4E03"/>
    <w:rsid w:val="00BC67ED"/>
    <w:rsid w:val="00BC7DD7"/>
    <w:rsid w:val="00BD28F8"/>
    <w:rsid w:val="00BD4B68"/>
    <w:rsid w:val="00BD4F0A"/>
    <w:rsid w:val="00BD7634"/>
    <w:rsid w:val="00BE166C"/>
    <w:rsid w:val="00BE5976"/>
    <w:rsid w:val="00BF0891"/>
    <w:rsid w:val="00BF3894"/>
    <w:rsid w:val="00BF48FA"/>
    <w:rsid w:val="00BF501B"/>
    <w:rsid w:val="00BF7021"/>
    <w:rsid w:val="00C03375"/>
    <w:rsid w:val="00C0369C"/>
    <w:rsid w:val="00C059EC"/>
    <w:rsid w:val="00C10149"/>
    <w:rsid w:val="00C20C91"/>
    <w:rsid w:val="00C36605"/>
    <w:rsid w:val="00C37D5B"/>
    <w:rsid w:val="00C402CD"/>
    <w:rsid w:val="00C438E4"/>
    <w:rsid w:val="00C44712"/>
    <w:rsid w:val="00C45888"/>
    <w:rsid w:val="00C4737A"/>
    <w:rsid w:val="00C63083"/>
    <w:rsid w:val="00C67454"/>
    <w:rsid w:val="00C67971"/>
    <w:rsid w:val="00C749B5"/>
    <w:rsid w:val="00C760A3"/>
    <w:rsid w:val="00C807BC"/>
    <w:rsid w:val="00C841B2"/>
    <w:rsid w:val="00C917EB"/>
    <w:rsid w:val="00C9241B"/>
    <w:rsid w:val="00C9384F"/>
    <w:rsid w:val="00C95402"/>
    <w:rsid w:val="00C956EB"/>
    <w:rsid w:val="00CA45DC"/>
    <w:rsid w:val="00CA4FBA"/>
    <w:rsid w:val="00CA5188"/>
    <w:rsid w:val="00CA5447"/>
    <w:rsid w:val="00CA6487"/>
    <w:rsid w:val="00CB0A3A"/>
    <w:rsid w:val="00CB6B9F"/>
    <w:rsid w:val="00CC2E7E"/>
    <w:rsid w:val="00CC3016"/>
    <w:rsid w:val="00CC3122"/>
    <w:rsid w:val="00CC3A31"/>
    <w:rsid w:val="00CD1EC9"/>
    <w:rsid w:val="00CD39C2"/>
    <w:rsid w:val="00CE1E27"/>
    <w:rsid w:val="00CE265F"/>
    <w:rsid w:val="00CF6CA2"/>
    <w:rsid w:val="00D06D5B"/>
    <w:rsid w:val="00D121C2"/>
    <w:rsid w:val="00D13861"/>
    <w:rsid w:val="00D14863"/>
    <w:rsid w:val="00D209BD"/>
    <w:rsid w:val="00D35E43"/>
    <w:rsid w:val="00D4090C"/>
    <w:rsid w:val="00D41B87"/>
    <w:rsid w:val="00D453D7"/>
    <w:rsid w:val="00D4578F"/>
    <w:rsid w:val="00D4799B"/>
    <w:rsid w:val="00D5168D"/>
    <w:rsid w:val="00D529DF"/>
    <w:rsid w:val="00D54CE3"/>
    <w:rsid w:val="00D54DA0"/>
    <w:rsid w:val="00D55213"/>
    <w:rsid w:val="00D56A76"/>
    <w:rsid w:val="00D66CA6"/>
    <w:rsid w:val="00D702C3"/>
    <w:rsid w:val="00D73CA3"/>
    <w:rsid w:val="00D75D30"/>
    <w:rsid w:val="00D76D50"/>
    <w:rsid w:val="00D80FE4"/>
    <w:rsid w:val="00D8376D"/>
    <w:rsid w:val="00D842D8"/>
    <w:rsid w:val="00D84F49"/>
    <w:rsid w:val="00D854CC"/>
    <w:rsid w:val="00D87670"/>
    <w:rsid w:val="00D933A3"/>
    <w:rsid w:val="00DA07F2"/>
    <w:rsid w:val="00DA0E57"/>
    <w:rsid w:val="00DA5C94"/>
    <w:rsid w:val="00DA641A"/>
    <w:rsid w:val="00DA6F20"/>
    <w:rsid w:val="00DB245C"/>
    <w:rsid w:val="00DB33D2"/>
    <w:rsid w:val="00DB4EAC"/>
    <w:rsid w:val="00DB6B6F"/>
    <w:rsid w:val="00DC110E"/>
    <w:rsid w:val="00DD14B7"/>
    <w:rsid w:val="00DD18E1"/>
    <w:rsid w:val="00DD6C6B"/>
    <w:rsid w:val="00DD6C8F"/>
    <w:rsid w:val="00DE2479"/>
    <w:rsid w:val="00DE2B2B"/>
    <w:rsid w:val="00DE4FBF"/>
    <w:rsid w:val="00DE5DB1"/>
    <w:rsid w:val="00DE70A4"/>
    <w:rsid w:val="00DE7954"/>
    <w:rsid w:val="00DF0075"/>
    <w:rsid w:val="00DF3332"/>
    <w:rsid w:val="00DF626B"/>
    <w:rsid w:val="00E00460"/>
    <w:rsid w:val="00E019C7"/>
    <w:rsid w:val="00E0750B"/>
    <w:rsid w:val="00E07928"/>
    <w:rsid w:val="00E17B7E"/>
    <w:rsid w:val="00E249E0"/>
    <w:rsid w:val="00E336CD"/>
    <w:rsid w:val="00E35384"/>
    <w:rsid w:val="00E42EAA"/>
    <w:rsid w:val="00E45FB2"/>
    <w:rsid w:val="00E50FCB"/>
    <w:rsid w:val="00E5435D"/>
    <w:rsid w:val="00E54F75"/>
    <w:rsid w:val="00E558B0"/>
    <w:rsid w:val="00E63F94"/>
    <w:rsid w:val="00E70E2B"/>
    <w:rsid w:val="00E713B2"/>
    <w:rsid w:val="00E71996"/>
    <w:rsid w:val="00E7250D"/>
    <w:rsid w:val="00E74179"/>
    <w:rsid w:val="00E74812"/>
    <w:rsid w:val="00E75837"/>
    <w:rsid w:val="00E75856"/>
    <w:rsid w:val="00E80E4D"/>
    <w:rsid w:val="00E810B5"/>
    <w:rsid w:val="00E84B6D"/>
    <w:rsid w:val="00E8548F"/>
    <w:rsid w:val="00E86A7C"/>
    <w:rsid w:val="00E946D8"/>
    <w:rsid w:val="00E975F7"/>
    <w:rsid w:val="00EA5B0E"/>
    <w:rsid w:val="00EB2A2D"/>
    <w:rsid w:val="00EB69D3"/>
    <w:rsid w:val="00EB6C1E"/>
    <w:rsid w:val="00EC177B"/>
    <w:rsid w:val="00EC4441"/>
    <w:rsid w:val="00EC7B99"/>
    <w:rsid w:val="00ED0F7A"/>
    <w:rsid w:val="00ED19BC"/>
    <w:rsid w:val="00EE1302"/>
    <w:rsid w:val="00EE324A"/>
    <w:rsid w:val="00EE33E3"/>
    <w:rsid w:val="00EF3FCA"/>
    <w:rsid w:val="00EF4CEA"/>
    <w:rsid w:val="00F03EB9"/>
    <w:rsid w:val="00F043E2"/>
    <w:rsid w:val="00F0701E"/>
    <w:rsid w:val="00F239AA"/>
    <w:rsid w:val="00F32A5C"/>
    <w:rsid w:val="00F36700"/>
    <w:rsid w:val="00F42A6D"/>
    <w:rsid w:val="00F453EA"/>
    <w:rsid w:val="00F54D61"/>
    <w:rsid w:val="00F559B3"/>
    <w:rsid w:val="00F571E2"/>
    <w:rsid w:val="00F6234E"/>
    <w:rsid w:val="00F6399D"/>
    <w:rsid w:val="00F67E6E"/>
    <w:rsid w:val="00F71D7D"/>
    <w:rsid w:val="00F71EE9"/>
    <w:rsid w:val="00F74CCD"/>
    <w:rsid w:val="00F80119"/>
    <w:rsid w:val="00F85B96"/>
    <w:rsid w:val="00F91C9D"/>
    <w:rsid w:val="00FA7AE4"/>
    <w:rsid w:val="00FB3A17"/>
    <w:rsid w:val="00FB5BA3"/>
    <w:rsid w:val="00FB6832"/>
    <w:rsid w:val="00FB6EFF"/>
    <w:rsid w:val="00FC0709"/>
    <w:rsid w:val="00FC3308"/>
    <w:rsid w:val="00FC4194"/>
    <w:rsid w:val="00FC484A"/>
    <w:rsid w:val="00FC4E27"/>
    <w:rsid w:val="00FD165F"/>
    <w:rsid w:val="00FD7454"/>
    <w:rsid w:val="00FE44EC"/>
    <w:rsid w:val="00FE60B9"/>
    <w:rsid w:val="00FE68A9"/>
    <w:rsid w:val="00FF6352"/>
    <w:rsid w:val="00FF73E1"/>
    <w:rsid w:val="00FF747B"/>
    <w:rsid w:val="014A55AA"/>
    <w:rsid w:val="01D06A90"/>
    <w:rsid w:val="022E0D31"/>
    <w:rsid w:val="03E444D9"/>
    <w:rsid w:val="03EC19F8"/>
    <w:rsid w:val="042132B6"/>
    <w:rsid w:val="05931C1A"/>
    <w:rsid w:val="06E10582"/>
    <w:rsid w:val="08CB606A"/>
    <w:rsid w:val="09C70FD5"/>
    <w:rsid w:val="0D081C65"/>
    <w:rsid w:val="0D880C59"/>
    <w:rsid w:val="0E3C054C"/>
    <w:rsid w:val="0FBC649F"/>
    <w:rsid w:val="106B2410"/>
    <w:rsid w:val="10D42BB6"/>
    <w:rsid w:val="113E7F74"/>
    <w:rsid w:val="11B4266C"/>
    <w:rsid w:val="11DB2196"/>
    <w:rsid w:val="134808A7"/>
    <w:rsid w:val="157EE70E"/>
    <w:rsid w:val="16095A09"/>
    <w:rsid w:val="180A4854"/>
    <w:rsid w:val="19896808"/>
    <w:rsid w:val="1B0C1BBB"/>
    <w:rsid w:val="1B771192"/>
    <w:rsid w:val="1BD7080F"/>
    <w:rsid w:val="1CD569C5"/>
    <w:rsid w:val="1CE0653F"/>
    <w:rsid w:val="1D201734"/>
    <w:rsid w:val="1E1916CF"/>
    <w:rsid w:val="1E4E2F3F"/>
    <w:rsid w:val="1E8E21E0"/>
    <w:rsid w:val="218B54FA"/>
    <w:rsid w:val="232121CF"/>
    <w:rsid w:val="23221408"/>
    <w:rsid w:val="23E67C23"/>
    <w:rsid w:val="255A1ABB"/>
    <w:rsid w:val="2A793427"/>
    <w:rsid w:val="2CD37680"/>
    <w:rsid w:val="2D304F7E"/>
    <w:rsid w:val="2D5116A9"/>
    <w:rsid w:val="2D613012"/>
    <w:rsid w:val="2F6B1263"/>
    <w:rsid w:val="343F60FB"/>
    <w:rsid w:val="384A07C4"/>
    <w:rsid w:val="388D1922"/>
    <w:rsid w:val="389518C7"/>
    <w:rsid w:val="39477735"/>
    <w:rsid w:val="394A07B8"/>
    <w:rsid w:val="3BA04504"/>
    <w:rsid w:val="3D251A87"/>
    <w:rsid w:val="3D7E33FC"/>
    <w:rsid w:val="3FA82C7D"/>
    <w:rsid w:val="409E0783"/>
    <w:rsid w:val="42DA58E6"/>
    <w:rsid w:val="4389141A"/>
    <w:rsid w:val="440752E9"/>
    <w:rsid w:val="444E1BE6"/>
    <w:rsid w:val="45D65075"/>
    <w:rsid w:val="46033C9A"/>
    <w:rsid w:val="478D2511"/>
    <w:rsid w:val="47E90133"/>
    <w:rsid w:val="48F87D49"/>
    <w:rsid w:val="49984C85"/>
    <w:rsid w:val="49C16BC8"/>
    <w:rsid w:val="4C1E6192"/>
    <w:rsid w:val="4C450B45"/>
    <w:rsid w:val="4D853B85"/>
    <w:rsid w:val="4E427F9E"/>
    <w:rsid w:val="4EF550EA"/>
    <w:rsid w:val="4FC07426"/>
    <w:rsid w:val="4FC30956"/>
    <w:rsid w:val="52BA6E04"/>
    <w:rsid w:val="53EE15A7"/>
    <w:rsid w:val="54E245AA"/>
    <w:rsid w:val="55DA0E89"/>
    <w:rsid w:val="564776EA"/>
    <w:rsid w:val="580B0628"/>
    <w:rsid w:val="59267DB8"/>
    <w:rsid w:val="595B58D8"/>
    <w:rsid w:val="5A601300"/>
    <w:rsid w:val="5ABA7FF6"/>
    <w:rsid w:val="5BFA2498"/>
    <w:rsid w:val="5F36187C"/>
    <w:rsid w:val="5FAA7F89"/>
    <w:rsid w:val="5FED2BE1"/>
    <w:rsid w:val="604764EC"/>
    <w:rsid w:val="61683457"/>
    <w:rsid w:val="618C21BA"/>
    <w:rsid w:val="620A4506"/>
    <w:rsid w:val="622E0E5C"/>
    <w:rsid w:val="626E33B0"/>
    <w:rsid w:val="63FA22D9"/>
    <w:rsid w:val="642D3F1C"/>
    <w:rsid w:val="65430F4B"/>
    <w:rsid w:val="6B641DB4"/>
    <w:rsid w:val="6D0555C1"/>
    <w:rsid w:val="6DB647AA"/>
    <w:rsid w:val="6DB73849"/>
    <w:rsid w:val="6DFF75CE"/>
    <w:rsid w:val="71D359D9"/>
    <w:rsid w:val="74440F54"/>
    <w:rsid w:val="749D492B"/>
    <w:rsid w:val="74E26871"/>
    <w:rsid w:val="75826B26"/>
    <w:rsid w:val="77C343ED"/>
    <w:rsid w:val="77F45805"/>
    <w:rsid w:val="793759C7"/>
    <w:rsid w:val="79DF4E3E"/>
    <w:rsid w:val="79EE2B6E"/>
    <w:rsid w:val="7A6C7F12"/>
    <w:rsid w:val="7EC97D22"/>
    <w:rsid w:val="7FAA6A05"/>
    <w:rsid w:val="89BBDBB0"/>
    <w:rsid w:val="A5FFFFDD"/>
    <w:rsid w:val="D6FCA99E"/>
    <w:rsid w:val="DCFFE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4">
    <w:name w:val="heading 3"/>
    <w:basedOn w:val="1"/>
    <w:next w:val="1"/>
    <w:unhideWhenUsed/>
    <w:qFormat/>
    <w:uiPriority w:val="0"/>
    <w:pPr>
      <w:keepNext/>
      <w:keepLines/>
      <w:spacing w:line="360" w:lineRule="auto"/>
      <w:jc w:val="left"/>
      <w:outlineLvl w:val="2"/>
    </w:pPr>
    <w:rPr>
      <w:b/>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1"/>
      <w:szCs w:val="22"/>
      <w:lang w:val="en-US" w:eastAsia="zh-CN" w:bidi="ar-SA"/>
    </w:rPr>
  </w:style>
  <w:style w:type="paragraph" w:styleId="5">
    <w:name w:val="List 3"/>
    <w:basedOn w:val="1"/>
    <w:next w:val="1"/>
    <w:qFormat/>
    <w:uiPriority w:val="0"/>
    <w:pPr>
      <w:jc w:val="left"/>
    </w:pPr>
    <w:rPr>
      <w:bCs/>
      <w:szCs w:val="21"/>
    </w:rPr>
  </w:style>
  <w:style w:type="paragraph" w:styleId="6">
    <w:name w:val="Salutation"/>
    <w:next w:val="1"/>
    <w:unhideWhenUs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0"/>
      <w:sz w:val="24"/>
      <w:szCs w:val="20"/>
      <w:lang w:val="en-US" w:eastAsia="zh-CN" w:bidi="ar-SA"/>
    </w:rPr>
  </w:style>
  <w:style w:type="paragraph" w:styleId="8">
    <w:name w:val="Body Text First Indent 2"/>
    <w:basedOn w:val="7"/>
    <w:next w:val="1"/>
    <w:unhideWhenUsed/>
    <w:qFormat/>
    <w:uiPriority w:val="0"/>
    <w:pPr>
      <w:widowControl w:val="0"/>
      <w:spacing w:after="0" w:line="480" w:lineRule="exact"/>
      <w:ind w:left="0" w:leftChars="0" w:firstLine="420" w:firstLineChars="200"/>
      <w:jc w:val="both"/>
    </w:pPr>
    <w:rPr>
      <w:rFonts w:ascii="Times New Roman" w:hAnsi="Times New Roman" w:eastAsia="宋体" w:cs="Times New Roman"/>
      <w:b/>
      <w:kern w:val="0"/>
      <w:sz w:val="28"/>
      <w:szCs w:val="20"/>
      <w:lang w:val="en-US" w:eastAsia="zh-CN" w:bidi="ar-SA"/>
    </w:rPr>
  </w:style>
  <w:style w:type="paragraph" w:styleId="9">
    <w:name w:val="Plain Text"/>
    <w:next w:val="6"/>
    <w:qFormat/>
    <w:uiPriority w:val="0"/>
    <w:pPr>
      <w:widowControl w:val="0"/>
      <w:jc w:val="both"/>
    </w:pPr>
    <w:rPr>
      <w:rFonts w:ascii="宋体" w:hAnsi="Courier New" w:eastAsiaTheme="minorEastAsia" w:cstheme="minorBidi"/>
      <w:kern w:val="2"/>
      <w:sz w:val="30"/>
      <w:szCs w:val="22"/>
      <w:lang w:val="en-US" w:eastAsia="zh-CN" w:bidi="ar-SA"/>
    </w:rPr>
  </w:style>
  <w:style w:type="paragraph" w:styleId="10">
    <w:name w:val="Body Text Indent 2"/>
    <w:basedOn w:val="1"/>
    <w:next w:val="8"/>
    <w:qFormat/>
    <w:uiPriority w:val="0"/>
    <w:pPr>
      <w:widowControl w:val="0"/>
      <w:spacing w:line="500" w:lineRule="exact"/>
      <w:ind w:firstLine="556"/>
      <w:jc w:val="both"/>
    </w:pPr>
    <w:rPr>
      <w:rFonts w:ascii="Times New Roman" w:hAnsi="Times New Roman" w:eastAsia="宋体" w:cs="Times New Roman"/>
      <w:bCs/>
      <w:kern w:val="2"/>
      <w:sz w:val="28"/>
      <w:szCs w:val="24"/>
      <w:lang w:val="en-US" w:eastAsia="zh-CN" w:bidi="ar-SA"/>
    </w:r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9"/>
    <w:basedOn w:val="1"/>
    <w:next w:val="1"/>
    <w:qFormat/>
    <w:uiPriority w:val="0"/>
    <w:pPr>
      <w:widowControl w:val="0"/>
      <w:ind w:left="3360" w:leftChars="1600"/>
      <w:jc w:val="both"/>
    </w:pPr>
    <w:rPr>
      <w:rFonts w:ascii="Times New Roman" w:hAnsi="Times New Roman" w:eastAsia="宋体" w:cs="Times New Roman"/>
      <w:kern w:val="2"/>
      <w:sz w:val="21"/>
      <w:szCs w:val="24"/>
      <w:lang w:val="en-US" w:eastAsia="zh-CN" w:bidi="ar-SA"/>
    </w:rPr>
  </w:style>
  <w:style w:type="paragraph" w:styleId="15">
    <w:name w:val="Body Text 2"/>
    <w:basedOn w:val="1"/>
    <w:qFormat/>
    <w:uiPriority w:val="0"/>
    <w:pPr>
      <w:adjustRightInd w:val="0"/>
      <w:spacing w:line="400" w:lineRule="atLeast"/>
      <w:textAlignment w:val="baseline"/>
    </w:pPr>
    <w:rPr>
      <w:kern w:val="0"/>
      <w:sz w:val="24"/>
      <w:szCs w:val="20"/>
    </w:rPr>
  </w:style>
  <w:style w:type="paragraph" w:styleId="16">
    <w:name w:val="Normal (Web)"/>
    <w:basedOn w:val="1"/>
    <w:qFormat/>
    <w:uiPriority w:val="0"/>
    <w:pPr>
      <w:jc w:val="left"/>
    </w:pPr>
    <w:rPr>
      <w:rFonts w:cs="Times New Roman"/>
      <w:kern w:val="0"/>
      <w:sz w:val="24"/>
    </w:rPr>
  </w:style>
  <w:style w:type="paragraph" w:styleId="17">
    <w:name w:val="Body Text First Indent"/>
    <w:basedOn w:val="2"/>
    <w:qFormat/>
    <w:uiPriority w:val="0"/>
    <w:pPr>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FollowedHyperlink"/>
    <w:basedOn w:val="20"/>
    <w:qFormat/>
    <w:uiPriority w:val="0"/>
    <w:rPr>
      <w:color w:val="2B2B2B"/>
      <w:u w:val="none"/>
    </w:rPr>
  </w:style>
  <w:style w:type="character" w:styleId="23">
    <w:name w:val="Emphasis"/>
    <w:basedOn w:val="20"/>
    <w:qFormat/>
    <w:uiPriority w:val="0"/>
  </w:style>
  <w:style w:type="character" w:styleId="24">
    <w:name w:val="Hyperlink"/>
    <w:basedOn w:val="20"/>
    <w:qFormat/>
    <w:uiPriority w:val="0"/>
    <w:rPr>
      <w:color w:val="2B2B2B"/>
      <w:u w:val="none"/>
    </w:rPr>
  </w:style>
  <w:style w:type="character" w:styleId="25">
    <w:name w:val="HTML Cite"/>
    <w:basedOn w:val="20"/>
    <w:qFormat/>
    <w:uiPriority w:val="0"/>
    <w:rPr>
      <w:color w:val="999999"/>
    </w:rPr>
  </w:style>
  <w:style w:type="paragraph" w:customStyle="1" w:styleId="26">
    <w:name w:val="Default"/>
    <w:basedOn w:val="2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纯文本1"/>
    <w:basedOn w:val="1"/>
    <w:qFormat/>
    <w:uiPriority w:val="0"/>
    <w:pPr>
      <w:adjustRightInd w:val="0"/>
    </w:pPr>
    <w:rPr>
      <w:rFonts w:ascii="宋体" w:hAnsi="Courier New"/>
      <w:szCs w:val="20"/>
    </w:rPr>
  </w:style>
  <w:style w:type="paragraph" w:customStyle="1" w:styleId="28">
    <w:name w:val="新格式表"/>
    <w:basedOn w:val="1"/>
    <w:qFormat/>
    <w:uiPriority w:val="0"/>
    <w:pPr>
      <w:adjustRightInd w:val="0"/>
      <w:snapToGrid w:val="0"/>
      <w:spacing w:line="0" w:lineRule="atLeast"/>
      <w:jc w:val="center"/>
    </w:pPr>
    <w:rPr>
      <w:szCs w:val="21"/>
    </w:rPr>
  </w:style>
  <w:style w:type="paragraph" w:customStyle="1" w:styleId="29">
    <w:name w:val="_Style 11"/>
    <w:basedOn w:val="1"/>
    <w:next w:val="1"/>
    <w:qFormat/>
    <w:uiPriority w:val="0"/>
    <w:pPr>
      <w:pBdr>
        <w:bottom w:val="single" w:color="auto" w:sz="6" w:space="1"/>
      </w:pBdr>
      <w:jc w:val="center"/>
    </w:pPr>
    <w:rPr>
      <w:rFonts w:ascii="Arial"/>
      <w:vanish/>
      <w:sz w:val="16"/>
    </w:rPr>
  </w:style>
  <w:style w:type="paragraph" w:customStyle="1" w:styleId="30">
    <w:name w:val="_Style 12"/>
    <w:basedOn w:val="1"/>
    <w:next w:val="1"/>
    <w:qFormat/>
    <w:uiPriority w:val="0"/>
    <w:pPr>
      <w:pBdr>
        <w:top w:val="single" w:color="auto" w:sz="6" w:space="1"/>
      </w:pBdr>
      <w:jc w:val="center"/>
    </w:pPr>
    <w:rPr>
      <w:rFonts w:ascii="Arial"/>
      <w:vanish/>
      <w:sz w:val="16"/>
    </w:rPr>
  </w:style>
  <w:style w:type="paragraph" w:styleId="31">
    <w:name w:val="List Paragraph"/>
    <w:basedOn w:val="1"/>
    <w:qFormat/>
    <w:uiPriority w:val="99"/>
    <w:pPr>
      <w:ind w:firstLine="420" w:firstLineChars="200"/>
    </w:pPr>
  </w:style>
  <w:style w:type="paragraph" w:customStyle="1" w:styleId="32">
    <w:name w:val="_Style 15"/>
    <w:basedOn w:val="1"/>
    <w:next w:val="1"/>
    <w:qFormat/>
    <w:uiPriority w:val="0"/>
    <w:pPr>
      <w:pBdr>
        <w:bottom w:val="single" w:color="auto" w:sz="6" w:space="1"/>
      </w:pBdr>
      <w:jc w:val="center"/>
    </w:pPr>
    <w:rPr>
      <w:rFonts w:ascii="Arial"/>
      <w:vanish/>
      <w:sz w:val="16"/>
    </w:rPr>
  </w:style>
  <w:style w:type="paragraph" w:customStyle="1" w:styleId="33">
    <w:name w:val="_Style 16"/>
    <w:basedOn w:val="1"/>
    <w:next w:val="1"/>
    <w:qFormat/>
    <w:uiPriority w:val="0"/>
    <w:pPr>
      <w:pBdr>
        <w:top w:val="single" w:color="auto" w:sz="6" w:space="1"/>
      </w:pBdr>
      <w:jc w:val="center"/>
    </w:pPr>
    <w:rPr>
      <w:rFonts w:ascii="Arial"/>
      <w:vanish/>
      <w:sz w:val="16"/>
    </w:rPr>
  </w:style>
  <w:style w:type="paragraph" w:customStyle="1" w:styleId="34">
    <w:name w:val="Table Paragraph"/>
    <w:basedOn w:val="1"/>
    <w:qFormat/>
    <w:uiPriority w:val="1"/>
    <w:pPr>
      <w:autoSpaceDE w:val="0"/>
      <w:autoSpaceDN w:val="0"/>
      <w:adjustRightInd w:val="0"/>
      <w:jc w:val="left"/>
    </w:pPr>
    <w:rPr>
      <w:rFonts w:ascii="Times New Roman" w:hAnsi="Times New Roman" w:eastAsia="等线" w:cs="Times New Roman"/>
      <w:kern w:val="0"/>
      <w:sz w:val="24"/>
    </w:rPr>
  </w:style>
  <w:style w:type="character" w:customStyle="1" w:styleId="35">
    <w:name w:val="批注框文本 Char"/>
    <w:basedOn w:val="20"/>
    <w:link w:val="11"/>
    <w:qFormat/>
    <w:uiPriority w:val="0"/>
    <w:rPr>
      <w:rFonts w:asciiTheme="minorHAnsi" w:hAnsiTheme="minorHAnsi" w:cstheme="minorBidi"/>
      <w:kern w:val="2"/>
      <w:sz w:val="18"/>
      <w:szCs w:val="18"/>
    </w:rPr>
  </w:style>
  <w:style w:type="paragraph" w:customStyle="1" w:styleId="36">
    <w:name w:val="样式 五号 居中"/>
    <w:basedOn w:val="1"/>
    <w:qFormat/>
    <w:uiPriority w:val="0"/>
    <w:pPr>
      <w:jc w:val="center"/>
    </w:pPr>
    <w:rPr>
      <w:rFonts w:cs="宋体"/>
    </w:rPr>
  </w:style>
  <w:style w:type="paragraph" w:customStyle="1" w:styleId="37">
    <w:name w:val="表内文字"/>
    <w:basedOn w:val="1"/>
    <w:qFormat/>
    <w:uiPriority w:val="0"/>
    <w:pPr>
      <w:adjustRightInd w:val="0"/>
      <w:jc w:val="center"/>
      <w:textAlignment w:val="baseline"/>
    </w:pPr>
    <w:rPr>
      <w:szCs w:val="20"/>
    </w:rPr>
  </w:style>
  <w:style w:type="paragraph" w:customStyle="1" w:styleId="38">
    <w:name w:val="表格内容"/>
    <w:basedOn w:val="39"/>
    <w:next w:val="1"/>
    <w:qFormat/>
    <w:uiPriority w:val="0"/>
    <w:pPr>
      <w:spacing w:line="240" w:lineRule="atLeast"/>
    </w:pPr>
    <w:rPr>
      <w:rFonts w:ascii="Times New Roman" w:hAnsi="Times New Roman"/>
      <w:b w:val="0"/>
    </w:rPr>
  </w:style>
  <w:style w:type="paragraph" w:customStyle="1" w:styleId="39">
    <w:name w:val="表格标题"/>
    <w:basedOn w:val="2"/>
    <w:qFormat/>
    <w:uiPriority w:val="0"/>
    <w:pPr>
      <w:jc w:val="center"/>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C4768BE5-3E2A-4F6D-9453-DB321B84D95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1276</Words>
  <Characters>1349</Characters>
  <Lines>10</Lines>
  <Paragraphs>2</Paragraphs>
  <TotalTime>1</TotalTime>
  <ScaleCrop>false</ScaleCrop>
  <LinksUpToDate>false</LinksUpToDate>
  <CharactersWithSpaces>1536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2021-10-17T17:22:00Z</dcterms:created>
  <dc:creator>Administrator</dc:creator>
  <cp:lastModifiedBy>uos</cp:lastModifiedBy>
  <cp:lastPrinted>2026-01-09T17:23:00Z</cp:lastPrinted>
  <dcterms:modified xsi:type="dcterms:W3CDTF">2026-03-27T09:43:25Z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eyJoZGlkIjoiNGI1NWQzNjUwZjBjNzVjMzQyZTZlYTE3MTY5ZTE5NGEiLCJ1c2VySWQiOiIyOTIxNzUzMTgifQ==</vt:lpwstr>
  </property>
  <property fmtid="{D5CDD505-2E9C-101B-9397-08002B2CF9AE}" pid="4" name="ICV">
    <vt:lpwstr>AB801E4D23CA49D0A86DDDF8FA181E10_12</vt:lpwstr>
  </property>
</Properties>
</file>