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jc w:val="center"/>
        <w:textAlignment w:val="auto"/>
        <w:outlineLvl w:val="9"/>
        <w:rPr>
          <w:rFonts w:hint="eastAsia" w:ascii="仿宋" w:hAnsi="仿宋" w:eastAsia="仿宋" w:cs="仿宋"/>
          <w:sz w:val="32"/>
          <w:szCs w:val="32"/>
        </w:rPr>
      </w:pPr>
      <w:r>
        <w:rPr>
          <w:rFonts w:hint="eastAsia" w:ascii="仿宋" w:hAnsi="仿宋" w:eastAsia="仿宋" w:cs="仿宋"/>
          <w:b/>
          <w:bCs/>
          <w:sz w:val="44"/>
          <w:szCs w:val="44"/>
          <w:lang w:val="en-US" w:eastAsia="zh-CN"/>
        </w:rPr>
        <w:t>《砀山县优化住宅小区相关规划管理规定》</w:t>
      </w:r>
      <w:r>
        <w:rPr>
          <w:rFonts w:hint="eastAsia" w:ascii="宋体" w:hAnsi="宋体" w:eastAsia="宋体" w:cs="宋体"/>
          <w:b/>
          <w:bCs/>
          <w:sz w:val="44"/>
          <w:szCs w:val="44"/>
        </w:rPr>
        <w:t>（征求意见稿）》</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为深入贯彻党的二十届</w:t>
      </w:r>
      <w:r>
        <w:rPr>
          <w:rFonts w:hint="eastAsia" w:ascii="仿宋" w:hAnsi="仿宋" w:eastAsia="仿宋" w:cs="仿宋"/>
          <w:sz w:val="32"/>
          <w:szCs w:val="32"/>
          <w:lang w:val="en-US" w:eastAsia="zh-CN"/>
        </w:rPr>
        <w:t>四</w:t>
      </w:r>
      <w:r>
        <w:rPr>
          <w:rFonts w:hint="eastAsia" w:ascii="仿宋" w:hAnsi="仿宋" w:eastAsia="仿宋" w:cs="仿宋"/>
          <w:sz w:val="32"/>
          <w:szCs w:val="32"/>
        </w:rPr>
        <w:t>中全会精神</w:t>
      </w:r>
      <w:r>
        <w:rPr>
          <w:rFonts w:hint="eastAsia" w:ascii="仿宋" w:hAnsi="仿宋" w:eastAsia="仿宋" w:cs="仿宋"/>
          <w:sz w:val="32"/>
          <w:szCs w:val="32"/>
          <w:lang w:eastAsia="zh-CN"/>
        </w:rPr>
        <w:t>，</w:t>
      </w:r>
      <w:r>
        <w:rPr>
          <w:rFonts w:hint="eastAsia" w:ascii="仿宋" w:hAnsi="仿宋" w:eastAsia="仿宋" w:cs="仿宋"/>
          <w:sz w:val="32"/>
          <w:szCs w:val="32"/>
        </w:rPr>
        <w:t>科学把握新发展阶段住房品质建设新特征</w:t>
      </w:r>
      <w:r>
        <w:rPr>
          <w:rFonts w:hint="eastAsia" w:ascii="仿宋" w:hAnsi="仿宋" w:eastAsia="仿宋" w:cs="仿宋"/>
          <w:sz w:val="32"/>
          <w:szCs w:val="32"/>
          <w:lang w:eastAsia="zh-CN"/>
        </w:rPr>
        <w:t>，</w:t>
      </w:r>
      <w:r>
        <w:rPr>
          <w:rFonts w:hint="eastAsia" w:ascii="仿宋" w:hAnsi="仿宋" w:eastAsia="仿宋" w:cs="仿宋"/>
          <w:sz w:val="32"/>
          <w:szCs w:val="32"/>
        </w:rPr>
        <w:t>加快构建房地产发展新模式</w:t>
      </w:r>
      <w:r>
        <w:rPr>
          <w:rFonts w:hint="eastAsia" w:ascii="仿宋" w:hAnsi="仿宋" w:eastAsia="仿宋" w:cs="仿宋"/>
          <w:sz w:val="32"/>
          <w:szCs w:val="32"/>
          <w:lang w:eastAsia="zh-CN"/>
        </w:rPr>
        <w:t>，</w:t>
      </w:r>
      <w:r>
        <w:rPr>
          <w:rFonts w:hint="eastAsia" w:ascii="仿宋" w:hAnsi="仿宋" w:eastAsia="仿宋" w:cs="仿宋"/>
          <w:sz w:val="32"/>
          <w:szCs w:val="32"/>
        </w:rPr>
        <w:t>进一步提升我</w:t>
      </w:r>
      <w:r>
        <w:rPr>
          <w:rFonts w:hint="eastAsia" w:ascii="仿宋" w:hAnsi="仿宋" w:eastAsia="仿宋" w:cs="仿宋"/>
          <w:sz w:val="32"/>
          <w:szCs w:val="32"/>
          <w:lang w:val="en-US" w:eastAsia="zh-CN"/>
        </w:rPr>
        <w:t>县</w:t>
      </w:r>
      <w:r>
        <w:rPr>
          <w:rFonts w:hint="eastAsia" w:ascii="仿宋" w:hAnsi="仿宋" w:eastAsia="仿宋" w:cs="仿宋"/>
          <w:sz w:val="32"/>
          <w:szCs w:val="32"/>
        </w:rPr>
        <w:t>建设项目开发品质</w:t>
      </w:r>
      <w:r>
        <w:rPr>
          <w:rFonts w:hint="eastAsia" w:ascii="仿宋" w:hAnsi="仿宋" w:eastAsia="仿宋" w:cs="仿宋"/>
          <w:sz w:val="32"/>
          <w:szCs w:val="32"/>
          <w:lang w:eastAsia="zh-CN"/>
        </w:rPr>
        <w:t>，</w:t>
      </w:r>
      <w:r>
        <w:rPr>
          <w:rFonts w:hint="eastAsia" w:ascii="仿宋" w:hAnsi="仿宋" w:eastAsia="仿宋" w:cs="仿宋"/>
          <w:sz w:val="32"/>
          <w:szCs w:val="32"/>
        </w:rPr>
        <w:t>降低开发成本</w:t>
      </w:r>
      <w:r>
        <w:rPr>
          <w:rFonts w:hint="eastAsia" w:ascii="仿宋" w:hAnsi="仿宋" w:eastAsia="仿宋" w:cs="仿宋"/>
          <w:sz w:val="32"/>
          <w:szCs w:val="32"/>
          <w:lang w:eastAsia="zh-CN"/>
        </w:rPr>
        <w:t>，</w:t>
      </w:r>
      <w:r>
        <w:rPr>
          <w:rFonts w:hint="eastAsia" w:ascii="仿宋" w:hAnsi="仿宋" w:eastAsia="仿宋" w:cs="仿宋"/>
          <w:sz w:val="32"/>
          <w:szCs w:val="32"/>
        </w:rPr>
        <w:t>激发市场活力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借鉴合肥市关于优化住宅小区相关规划管理经验，</w:t>
      </w:r>
      <w:r>
        <w:rPr>
          <w:rFonts w:hint="eastAsia" w:ascii="仿宋" w:hAnsi="仿宋" w:eastAsia="仿宋" w:cs="仿宋"/>
          <w:sz w:val="32"/>
          <w:szCs w:val="32"/>
        </w:rPr>
        <w:t>结合我</w:t>
      </w:r>
      <w:r>
        <w:rPr>
          <w:rFonts w:hint="eastAsia" w:ascii="仿宋" w:hAnsi="仿宋" w:eastAsia="仿宋" w:cs="仿宋"/>
          <w:sz w:val="32"/>
          <w:szCs w:val="32"/>
          <w:lang w:val="en-US" w:eastAsia="zh-CN"/>
        </w:rPr>
        <w:t>县</w:t>
      </w:r>
      <w:r>
        <w:rPr>
          <w:rFonts w:hint="eastAsia" w:ascii="仿宋" w:hAnsi="仿宋" w:eastAsia="仿宋" w:cs="仿宋"/>
          <w:sz w:val="32"/>
          <w:szCs w:val="32"/>
        </w:rPr>
        <w:t>实际</w:t>
      </w:r>
      <w:r>
        <w:rPr>
          <w:rFonts w:hint="eastAsia" w:ascii="仿宋" w:hAnsi="仿宋" w:eastAsia="仿宋" w:cs="仿宋"/>
          <w:sz w:val="32"/>
          <w:szCs w:val="32"/>
          <w:lang w:eastAsia="zh-CN"/>
        </w:rPr>
        <w:t>，</w:t>
      </w:r>
      <w:r>
        <w:rPr>
          <w:rFonts w:hint="eastAsia" w:ascii="仿宋" w:hAnsi="仿宋" w:eastAsia="仿宋" w:cs="仿宋"/>
          <w:sz w:val="32"/>
          <w:szCs w:val="32"/>
        </w:rPr>
        <w:t>现就优化住宅小区相关规划管理</w:t>
      </w:r>
      <w:r>
        <w:rPr>
          <w:rFonts w:hint="eastAsia" w:ascii="仿宋" w:hAnsi="仿宋" w:eastAsia="仿宋" w:cs="仿宋"/>
          <w:sz w:val="32"/>
          <w:szCs w:val="32"/>
          <w:lang w:val="en-US" w:eastAsia="zh-CN"/>
        </w:rPr>
        <w:t>作如下规定：</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3" w:firstLineChars="200"/>
        <w:textAlignment w:val="auto"/>
        <w:outlineLvl w:val="9"/>
        <w:rPr>
          <w:rFonts w:hint="eastAsia" w:ascii="仿宋" w:hAnsi="仿宋" w:eastAsia="仿宋" w:cs="仿宋"/>
          <w:b/>
          <w:bCs/>
          <w:sz w:val="32"/>
          <w:szCs w:val="32"/>
        </w:rPr>
      </w:pPr>
      <w:r>
        <w:rPr>
          <w:rFonts w:hint="eastAsia" w:ascii="仿宋" w:hAnsi="仿宋" w:eastAsia="仿宋" w:cs="仿宋"/>
          <w:b/>
          <w:bCs/>
          <w:sz w:val="32"/>
          <w:szCs w:val="32"/>
        </w:rPr>
        <w:t>一、支持住宅小区架空平台停车</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（一）定义及内容</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1.架空平台</w:t>
      </w:r>
      <w:r>
        <w:rPr>
          <w:rFonts w:hint="eastAsia" w:ascii="仿宋" w:hAnsi="仿宋" w:eastAsia="仿宋" w:cs="仿宋"/>
          <w:sz w:val="32"/>
          <w:szCs w:val="32"/>
          <w:lang w:eastAsia="zh-CN"/>
        </w:rPr>
        <w:t>：</w:t>
      </w:r>
      <w:r>
        <w:rPr>
          <w:rFonts w:hint="eastAsia" w:ascii="仿宋" w:hAnsi="仿宋" w:eastAsia="仿宋" w:cs="仿宋"/>
          <w:sz w:val="32"/>
          <w:szCs w:val="32"/>
        </w:rPr>
        <w:t>建筑室内地平面低于室外地平面部分的高度不大于该建筑</w:t>
      </w:r>
      <w:r>
        <w:rPr>
          <w:rFonts w:hint="eastAsia" w:ascii="仿宋" w:hAnsi="仿宋" w:eastAsia="仿宋" w:cs="仿宋"/>
          <w:sz w:val="32"/>
          <w:szCs w:val="32"/>
          <w:lang w:val="en-US" w:eastAsia="zh-CN"/>
        </w:rPr>
        <w:t>空间</w:t>
      </w:r>
      <w:r>
        <w:rPr>
          <w:rFonts w:hint="eastAsia" w:ascii="仿宋" w:hAnsi="仿宋" w:eastAsia="仿宋" w:cs="仿宋"/>
          <w:sz w:val="32"/>
          <w:szCs w:val="32"/>
        </w:rPr>
        <w:t>净高</w:t>
      </w:r>
      <w:r>
        <w:rPr>
          <w:rFonts w:hint="eastAsia" w:ascii="仿宋" w:hAnsi="仿宋" w:eastAsia="仿宋" w:cs="仿宋"/>
          <w:sz w:val="32"/>
          <w:szCs w:val="32"/>
          <w:lang w:val="en-US" w:eastAsia="zh-CN"/>
        </w:rPr>
        <w:t>1/3</w:t>
      </w:r>
      <w:r>
        <w:rPr>
          <w:rFonts w:hint="eastAsia" w:ascii="仿宋" w:hAnsi="仿宋" w:eastAsia="仿宋" w:cs="仿宋"/>
          <w:sz w:val="32"/>
          <w:szCs w:val="32"/>
        </w:rPr>
        <w:t>的开敞空间（详见附图</w:t>
      </w:r>
      <w:r>
        <w:rPr>
          <w:rFonts w:hint="eastAsia" w:ascii="仿宋" w:hAnsi="仿宋" w:eastAsia="仿宋" w:cs="仿宋"/>
          <w:sz w:val="32"/>
          <w:szCs w:val="32"/>
          <w:lang w:val="en-US" w:eastAsia="zh-CN"/>
        </w:rPr>
        <w:t>1</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2.架空平台停车</w:t>
      </w:r>
      <w:r>
        <w:rPr>
          <w:rFonts w:hint="eastAsia" w:ascii="仿宋" w:hAnsi="仿宋" w:eastAsia="仿宋" w:cs="仿宋"/>
          <w:sz w:val="32"/>
          <w:szCs w:val="32"/>
          <w:lang w:eastAsia="zh-CN"/>
        </w:rPr>
        <w:t>：</w:t>
      </w:r>
      <w:r>
        <w:rPr>
          <w:rFonts w:hint="eastAsia" w:ascii="仿宋" w:hAnsi="仿宋" w:eastAsia="仿宋" w:cs="仿宋"/>
          <w:sz w:val="32"/>
          <w:szCs w:val="32"/>
        </w:rPr>
        <w:t>新建住宅项目利用底层（一层）架空平台进行停车的形式（详见附图</w:t>
      </w:r>
      <w:r>
        <w:rPr>
          <w:rFonts w:hint="eastAsia" w:ascii="仿宋" w:hAnsi="仿宋" w:eastAsia="仿宋" w:cs="仿宋"/>
          <w:sz w:val="32"/>
          <w:szCs w:val="32"/>
          <w:lang w:val="en-US" w:eastAsia="zh-CN"/>
        </w:rPr>
        <w:t>2</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3.架空平台可设置停车、公共服务设施、公益性设施以及公共开放空间（详见附图3）。</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4.架空平台停车功能的水平投影面积不应小于其水平投影面积的60%</w:t>
      </w:r>
      <w:r>
        <w:rPr>
          <w:rFonts w:hint="eastAsia" w:ascii="仿宋" w:hAnsi="仿宋" w:eastAsia="仿宋" w:cs="仿宋"/>
          <w:sz w:val="32"/>
          <w:szCs w:val="32"/>
          <w:lang w:eastAsia="zh-CN"/>
        </w:rPr>
        <w:t>，</w:t>
      </w:r>
      <w:r>
        <w:rPr>
          <w:rFonts w:hint="eastAsia" w:ascii="仿宋" w:hAnsi="仿宋" w:eastAsia="仿宋" w:cs="仿宋"/>
          <w:sz w:val="32"/>
          <w:szCs w:val="32"/>
        </w:rPr>
        <w:t>相关的设备用房面积不应大于停车面积的5%。</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5.架空平台上不应设置机动车停车位（消防等应急车辆除外）。</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6.利用架空平台进行电动自行车停放时</w:t>
      </w:r>
      <w:r>
        <w:rPr>
          <w:rFonts w:hint="eastAsia" w:ascii="仿宋" w:hAnsi="仿宋" w:eastAsia="仿宋" w:cs="仿宋"/>
          <w:sz w:val="32"/>
          <w:szCs w:val="32"/>
          <w:lang w:eastAsia="zh-CN"/>
        </w:rPr>
        <w:t>，</w:t>
      </w:r>
      <w:r>
        <w:rPr>
          <w:rFonts w:hint="eastAsia" w:ascii="仿宋" w:hAnsi="仿宋" w:eastAsia="仿宋" w:cs="仿宋"/>
          <w:sz w:val="32"/>
          <w:szCs w:val="32"/>
        </w:rPr>
        <w:t>应明确停放区域且符合国家消防救援局制定的《建筑架空层电动自行车停放充电消防安全要求（试行）》以及安徽省住房和城乡建设厅印发的《关于加强高层住宅天井和住宅电动自行车停放场所消防设计审查验收工作的通知》《电动自行车停车场（棚）防火技术导则》（建标函〔2024〕287号）《电动自行车库防火技术导则》(建标函〔2024〕296号）等相关要求。</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（二）适用范围</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架空平台停车应综合考虑建设项目场地条件、用地规模及城市景观集中设置</w:t>
      </w:r>
      <w:r>
        <w:rPr>
          <w:rFonts w:hint="eastAsia" w:ascii="仿宋" w:hAnsi="仿宋" w:eastAsia="仿宋" w:cs="仿宋"/>
          <w:sz w:val="32"/>
          <w:szCs w:val="32"/>
          <w:lang w:eastAsia="zh-CN"/>
        </w:rPr>
        <w:t>，</w:t>
      </w:r>
      <w:r>
        <w:rPr>
          <w:rFonts w:hint="eastAsia" w:ascii="仿宋" w:hAnsi="仿宋" w:eastAsia="仿宋" w:cs="仿宋"/>
          <w:sz w:val="32"/>
          <w:szCs w:val="32"/>
        </w:rPr>
        <w:t>原则上宜在自身存在高差的地块设置</w:t>
      </w:r>
      <w:r>
        <w:rPr>
          <w:rFonts w:hint="eastAsia" w:ascii="仿宋" w:hAnsi="仿宋" w:eastAsia="仿宋" w:cs="仿宋"/>
          <w:sz w:val="32"/>
          <w:szCs w:val="32"/>
          <w:lang w:eastAsia="zh-CN"/>
        </w:rPr>
        <w:t>，</w:t>
      </w:r>
      <w:r>
        <w:rPr>
          <w:rFonts w:hint="eastAsia" w:ascii="仿宋" w:hAnsi="仿宋" w:eastAsia="仿宋" w:cs="仿宋"/>
          <w:sz w:val="32"/>
          <w:szCs w:val="32"/>
        </w:rPr>
        <w:t>不宜在城市主要景观界面以及沿城市主要形象道路等地块设置。</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（三）技术指标要求</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1.容积率</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架空平台（含平台以下的主体建筑水平投影空间）建筑用作停车、无偿移交的公共服务设施、公益性设施以及公共开放空间时</w:t>
      </w:r>
      <w:r>
        <w:rPr>
          <w:rFonts w:hint="eastAsia" w:ascii="仿宋" w:hAnsi="仿宋" w:eastAsia="仿宋" w:cs="仿宋"/>
          <w:sz w:val="32"/>
          <w:szCs w:val="32"/>
          <w:lang w:eastAsia="zh-CN"/>
        </w:rPr>
        <w:t>，</w:t>
      </w:r>
      <w:r>
        <w:rPr>
          <w:rFonts w:hint="eastAsia" w:ascii="仿宋" w:hAnsi="仿宋" w:eastAsia="仿宋" w:cs="仿宋"/>
          <w:sz w:val="32"/>
          <w:szCs w:val="32"/>
        </w:rPr>
        <w:t>其建筑面积可不计容积率</w:t>
      </w:r>
      <w:r>
        <w:rPr>
          <w:rFonts w:hint="eastAsia" w:ascii="仿宋" w:hAnsi="仿宋" w:eastAsia="仿宋" w:cs="仿宋"/>
          <w:sz w:val="32"/>
          <w:szCs w:val="32"/>
          <w:lang w:eastAsia="zh-CN"/>
        </w:rPr>
        <w:t>，</w:t>
      </w:r>
      <w:r>
        <w:rPr>
          <w:rFonts w:hint="eastAsia" w:ascii="仿宋" w:hAnsi="仿宋" w:eastAsia="仿宋" w:cs="仿宋"/>
          <w:sz w:val="32"/>
          <w:szCs w:val="32"/>
        </w:rPr>
        <w:t>但需计入总建筑面积。</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2.计算基准面</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（1）架空平台范围以内以架空平台（含覆土）上表面作为室外地坪</w:t>
      </w:r>
      <w:r>
        <w:rPr>
          <w:rFonts w:hint="eastAsia" w:ascii="仿宋" w:hAnsi="仿宋" w:eastAsia="仿宋" w:cs="仿宋"/>
          <w:sz w:val="32"/>
          <w:szCs w:val="32"/>
          <w:lang w:eastAsia="zh-CN"/>
        </w:rPr>
        <w:t>，</w:t>
      </w:r>
      <w:r>
        <w:rPr>
          <w:rFonts w:hint="eastAsia" w:ascii="仿宋" w:hAnsi="仿宋" w:eastAsia="仿宋" w:cs="仿宋"/>
          <w:sz w:val="32"/>
          <w:szCs w:val="32"/>
        </w:rPr>
        <w:t>并以此计算架空平台以内的建筑基底面积、建筑层数及建筑高度。</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（2）架空平台范围以外按现行规划管理技术规定执行。</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3.建筑密度</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（1）架空平台范围以内以架空平台（含覆土）上皮作为室外地坪</w:t>
      </w:r>
      <w:r>
        <w:rPr>
          <w:rFonts w:hint="eastAsia" w:ascii="仿宋" w:hAnsi="仿宋" w:eastAsia="仿宋" w:cs="仿宋"/>
          <w:sz w:val="32"/>
          <w:szCs w:val="32"/>
          <w:lang w:eastAsia="zh-CN"/>
        </w:rPr>
        <w:t>，</w:t>
      </w:r>
      <w:r>
        <w:rPr>
          <w:rFonts w:hint="eastAsia" w:ascii="仿宋" w:hAnsi="仿宋" w:eastAsia="仿宋" w:cs="仿宋"/>
          <w:sz w:val="32"/>
          <w:szCs w:val="32"/>
        </w:rPr>
        <w:t>高度大于等于此室外地坪1.5</w:t>
      </w:r>
      <w:r>
        <w:rPr>
          <w:rFonts w:hint="eastAsia" w:ascii="仿宋" w:hAnsi="仿宋" w:eastAsia="仿宋" w:cs="仿宋"/>
          <w:sz w:val="32"/>
          <w:szCs w:val="32"/>
          <w:lang w:eastAsia="zh-CN"/>
        </w:rPr>
        <w:t>米</w:t>
      </w:r>
      <w:r>
        <w:rPr>
          <w:rFonts w:hint="eastAsia" w:ascii="仿宋" w:hAnsi="仿宋" w:eastAsia="仿宋" w:cs="仿宋"/>
          <w:sz w:val="32"/>
          <w:szCs w:val="32"/>
        </w:rPr>
        <w:t>的建筑（构筑物）计入建筑基底面积。</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（2）架空平台范围以外的按现行规划管理技术规定执行。</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（3）建筑密度为架空平台范围内外建筑基底面积之和与用地面积的比值（详见附图4）。</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4.绿地率</w:t>
      </w:r>
    </w:p>
    <w:p>
      <w:pPr>
        <w:keepNext w:val="0"/>
        <w:keepLines w:val="0"/>
        <w:pageBreakBefore w:val="0"/>
        <w:widowControl w:val="0"/>
        <w:kinsoku/>
        <w:wordWrap/>
        <w:overflowPunct/>
        <w:topLinePunct w:val="0"/>
        <w:autoSpaceDE/>
        <w:autoSpaceDN/>
        <w:bidi w:val="0"/>
        <w:adjustRightInd/>
        <w:snapToGrid/>
        <w:spacing w:after="157" w:afterLines="50"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（1）架空平台范围以内的公共绿化区域</w:t>
      </w:r>
      <w:r>
        <w:rPr>
          <w:rFonts w:hint="eastAsia" w:ascii="仿宋" w:hAnsi="仿宋" w:eastAsia="仿宋" w:cs="仿宋"/>
          <w:sz w:val="32"/>
          <w:szCs w:val="32"/>
          <w:lang w:eastAsia="zh-CN"/>
        </w:rPr>
        <w:t>，</w:t>
      </w:r>
      <w:r>
        <w:rPr>
          <w:rFonts w:hint="eastAsia" w:ascii="仿宋" w:hAnsi="仿宋" w:eastAsia="仿宋" w:cs="仿宋"/>
          <w:sz w:val="32"/>
          <w:szCs w:val="32"/>
        </w:rPr>
        <w:t>可根据覆土深度折算为地面绿地面积计入绿地率</w:t>
      </w:r>
      <w:r>
        <w:rPr>
          <w:rFonts w:hint="eastAsia" w:ascii="仿宋" w:hAnsi="仿宋" w:eastAsia="仿宋" w:cs="仿宋"/>
          <w:sz w:val="32"/>
          <w:szCs w:val="32"/>
          <w:lang w:eastAsia="zh-CN"/>
        </w:rPr>
        <w:t>，</w:t>
      </w:r>
      <w:r>
        <w:rPr>
          <w:rFonts w:hint="eastAsia" w:ascii="仿宋" w:hAnsi="仿宋" w:eastAsia="仿宋" w:cs="仿宋"/>
          <w:sz w:val="32"/>
          <w:szCs w:val="32"/>
        </w:rPr>
        <w:t>折算系数见下表:</w:t>
      </w:r>
    </w:p>
    <w:tbl>
      <w:tblPr>
        <w:tblStyle w:val="6"/>
        <w:tblpPr w:leftFromText="180" w:rightFromText="180" w:vertAnchor="text" w:tblpX="218" w:tblpY="162"/>
        <w:tblOverlap w:val="never"/>
        <w:tblW w:w="8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1692"/>
        <w:gridCol w:w="3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3000" w:type="dxa"/>
          </w:tcPr>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321" w:firstLineChars="10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覆土深度（米）</w:t>
            </w:r>
          </w:p>
        </w:tc>
        <w:tc>
          <w:tcPr>
            <w:tcW w:w="1692" w:type="dxa"/>
          </w:tcPr>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jc w:val="center"/>
              <w:textAlignment w:val="auto"/>
              <w:outlineLvl w:val="9"/>
              <w:rPr>
                <w:rFonts w:hint="eastAsia" w:ascii="仿宋" w:hAnsi="仿宋" w:eastAsia="仿宋" w:cs="仿宋"/>
                <w:b/>
                <w:bCs/>
                <w:sz w:val="32"/>
                <w:szCs w:val="32"/>
                <w:vertAlign w:val="baseline"/>
              </w:rPr>
            </w:pPr>
            <w:r>
              <w:rPr>
                <w:rFonts w:hint="eastAsia" w:ascii="仿宋" w:hAnsi="仿宋" w:eastAsia="仿宋" w:cs="仿宋"/>
                <w:b/>
                <w:bCs/>
                <w:sz w:val="32"/>
                <w:szCs w:val="32"/>
              </w:rPr>
              <w:t>折算系数</w:t>
            </w:r>
          </w:p>
        </w:tc>
        <w:tc>
          <w:tcPr>
            <w:tcW w:w="3468" w:type="dxa"/>
          </w:tcPr>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jc w:val="center"/>
              <w:textAlignment w:val="auto"/>
              <w:outlineLvl w:val="9"/>
              <w:rPr>
                <w:rFonts w:hint="eastAsia" w:ascii="仿宋" w:hAnsi="仿宋" w:eastAsia="仿宋" w:cs="仿宋"/>
                <w:b/>
                <w:bCs/>
                <w:sz w:val="32"/>
                <w:szCs w:val="32"/>
                <w:vertAlign w:val="baseline"/>
                <w:lang w:val="en-US" w:eastAsia="zh-CN"/>
              </w:rPr>
            </w:pPr>
            <w:r>
              <w:rPr>
                <w:rFonts w:hint="eastAsia" w:ascii="仿宋" w:hAnsi="仿宋" w:eastAsia="仿宋" w:cs="仿宋"/>
                <w:b/>
                <w:bCs/>
                <w:sz w:val="32"/>
                <w:szCs w:val="32"/>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3000" w:type="dxa"/>
          </w:tcPr>
          <w:p>
            <w:pPr>
              <w:keepNext w:val="0"/>
              <w:keepLines w:val="0"/>
              <w:pageBreakBefore w:val="0"/>
              <w:widowControl w:val="0"/>
              <w:kinsoku/>
              <w:wordWrap/>
              <w:overflowPunct/>
              <w:topLinePunct w:val="0"/>
              <w:autoSpaceDE/>
              <w:autoSpaceDN/>
              <w:bidi w:val="0"/>
              <w:adjustRightInd/>
              <w:snapToGrid/>
              <w:spacing w:line="560" w:lineRule="atLeast"/>
              <w:ind w:right="0" w:rightChars="0"/>
              <w:jc w:val="center"/>
              <w:textAlignment w:val="auto"/>
              <w:outlineLvl w:val="9"/>
              <w:rPr>
                <w:rFonts w:hint="eastAsia" w:ascii="仿宋" w:hAnsi="仿宋" w:eastAsia="仿宋" w:cs="仿宋"/>
                <w:sz w:val="32"/>
                <w:szCs w:val="32"/>
                <w:vertAlign w:val="baseline"/>
              </w:rPr>
            </w:pPr>
            <w:r>
              <w:rPr>
                <w:rFonts w:hint="eastAsia" w:ascii="仿宋" w:hAnsi="仿宋" w:eastAsia="仿宋" w:cs="仿宋"/>
                <w:sz w:val="32"/>
                <w:szCs w:val="32"/>
              </w:rPr>
              <w:t>0.6&lt;H</w:t>
            </w:r>
            <w:bookmarkStart w:id="0" w:name="OLE_LINK2"/>
            <w:r>
              <w:rPr>
                <w:rFonts w:hint="eastAsia" w:ascii="仿宋" w:hAnsi="仿宋" w:eastAsia="仿宋" w:cs="仿宋"/>
                <w:sz w:val="32"/>
                <w:szCs w:val="32"/>
              </w:rPr>
              <w:t>≤</w:t>
            </w:r>
            <w:bookmarkEnd w:id="0"/>
            <w:r>
              <w:rPr>
                <w:rFonts w:hint="eastAsia" w:ascii="仿宋" w:hAnsi="仿宋" w:eastAsia="仿宋" w:cs="仿宋"/>
                <w:sz w:val="32"/>
                <w:szCs w:val="32"/>
              </w:rPr>
              <w:t>1.0</w:t>
            </w:r>
          </w:p>
        </w:tc>
        <w:tc>
          <w:tcPr>
            <w:tcW w:w="1692" w:type="dxa"/>
          </w:tcPr>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jc w:val="center"/>
              <w:textAlignment w:val="auto"/>
              <w:outlineLvl w:val="9"/>
              <w:rPr>
                <w:rFonts w:hint="eastAsia" w:ascii="仿宋" w:hAnsi="仿宋" w:eastAsia="仿宋" w:cs="仿宋"/>
                <w:sz w:val="32"/>
                <w:szCs w:val="32"/>
                <w:vertAlign w:val="baseline"/>
              </w:rPr>
            </w:pPr>
            <w:r>
              <w:rPr>
                <w:rFonts w:hint="eastAsia" w:ascii="仿宋" w:hAnsi="仿宋" w:eastAsia="仿宋" w:cs="仿宋"/>
                <w:sz w:val="32"/>
                <w:szCs w:val="32"/>
              </w:rPr>
              <w:t>0.3</w:t>
            </w:r>
          </w:p>
        </w:tc>
        <w:tc>
          <w:tcPr>
            <w:tcW w:w="3468" w:type="dxa"/>
          </w:tcPr>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jc w:val="center"/>
              <w:textAlignment w:val="auto"/>
              <w:outlineLvl w:val="9"/>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3000" w:type="dxa"/>
          </w:tcPr>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jc w:val="center"/>
              <w:textAlignment w:val="auto"/>
              <w:outlineLvl w:val="9"/>
              <w:rPr>
                <w:rFonts w:hint="eastAsia" w:ascii="仿宋" w:hAnsi="仿宋" w:eastAsia="仿宋" w:cs="仿宋"/>
                <w:sz w:val="32"/>
                <w:szCs w:val="32"/>
                <w:vertAlign w:val="baseline"/>
              </w:rPr>
            </w:pPr>
            <w:r>
              <w:rPr>
                <w:rFonts w:hint="eastAsia" w:ascii="仿宋" w:hAnsi="仿宋" w:eastAsia="仿宋" w:cs="仿宋"/>
                <w:sz w:val="32"/>
                <w:szCs w:val="32"/>
                <w:vertAlign w:val="baseline"/>
              </w:rPr>
              <w:t>1.0&lt;H&lt;1.5</w:t>
            </w:r>
          </w:p>
        </w:tc>
        <w:tc>
          <w:tcPr>
            <w:tcW w:w="1692" w:type="dxa"/>
          </w:tcPr>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jc w:val="center"/>
              <w:textAlignment w:val="auto"/>
              <w:outlineLvl w:val="9"/>
              <w:rPr>
                <w:rFonts w:hint="default"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0.5</w:t>
            </w:r>
          </w:p>
        </w:tc>
        <w:tc>
          <w:tcPr>
            <w:tcW w:w="3468" w:type="dxa"/>
            <w:vMerge w:val="restart"/>
          </w:tcPr>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jc w:val="center"/>
              <w:textAlignment w:val="auto"/>
              <w:outlineLvl w:val="9"/>
              <w:rPr>
                <w:rFonts w:hint="eastAsia" w:ascii="仿宋" w:hAnsi="仿宋" w:eastAsia="仿宋" w:cs="仿宋"/>
                <w:sz w:val="32"/>
                <w:szCs w:val="32"/>
                <w:vertAlign w:val="baseline"/>
              </w:rPr>
            </w:pPr>
            <w:r>
              <w:rPr>
                <w:rFonts w:hint="eastAsia" w:ascii="仿宋" w:hAnsi="仿宋" w:eastAsia="仿宋" w:cs="仿宋"/>
                <w:sz w:val="32"/>
                <w:szCs w:val="32"/>
              </w:rPr>
              <w:t>具有游园功能</w:t>
            </w:r>
            <w:r>
              <w:rPr>
                <w:rFonts w:hint="eastAsia" w:ascii="仿宋" w:hAnsi="仿宋" w:eastAsia="仿宋" w:cs="仿宋"/>
                <w:sz w:val="32"/>
                <w:szCs w:val="32"/>
                <w:lang w:eastAsia="zh-CN"/>
              </w:rPr>
              <w:t>，</w:t>
            </w:r>
            <w:r>
              <w:rPr>
                <w:rFonts w:hint="eastAsia" w:ascii="仿宋" w:hAnsi="仿宋" w:eastAsia="仿宋" w:cs="仿宋"/>
                <w:sz w:val="32"/>
                <w:szCs w:val="32"/>
              </w:rPr>
              <w:t>可提供游憩使用、养护良好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3000" w:type="dxa"/>
          </w:tcPr>
          <w:p>
            <w:pPr>
              <w:keepNext w:val="0"/>
              <w:keepLines w:val="0"/>
              <w:pageBreakBefore w:val="0"/>
              <w:widowControl w:val="0"/>
              <w:kinsoku/>
              <w:wordWrap/>
              <w:overflowPunct/>
              <w:topLinePunct w:val="0"/>
              <w:autoSpaceDE/>
              <w:autoSpaceDN/>
              <w:bidi w:val="0"/>
              <w:adjustRightInd/>
              <w:snapToGrid/>
              <w:spacing w:line="560" w:lineRule="atLeast"/>
              <w:ind w:right="0" w:rightChars="0"/>
              <w:jc w:val="center"/>
              <w:textAlignment w:val="auto"/>
              <w:outlineLvl w:val="9"/>
              <w:rPr>
                <w:rFonts w:hint="eastAsia" w:ascii="仿宋" w:hAnsi="仿宋" w:eastAsia="仿宋" w:cs="仿宋"/>
                <w:sz w:val="32"/>
                <w:szCs w:val="32"/>
                <w:vertAlign w:val="baseline"/>
              </w:rPr>
            </w:pPr>
            <w:r>
              <w:rPr>
                <w:rFonts w:hint="eastAsia" w:ascii="仿宋" w:hAnsi="仿宋" w:eastAsia="仿宋" w:cs="仿宋"/>
                <w:sz w:val="32"/>
                <w:szCs w:val="32"/>
              </w:rPr>
              <w:t>≥1.5</w:t>
            </w:r>
          </w:p>
        </w:tc>
        <w:tc>
          <w:tcPr>
            <w:tcW w:w="1692" w:type="dxa"/>
          </w:tcPr>
          <w:p>
            <w:pPr>
              <w:keepNext w:val="0"/>
              <w:keepLines w:val="0"/>
              <w:pageBreakBefore w:val="0"/>
              <w:widowControl w:val="0"/>
              <w:kinsoku/>
              <w:wordWrap/>
              <w:overflowPunct/>
              <w:topLinePunct w:val="0"/>
              <w:autoSpaceDE/>
              <w:autoSpaceDN/>
              <w:bidi w:val="0"/>
              <w:adjustRightInd/>
              <w:snapToGrid/>
              <w:spacing w:line="560" w:lineRule="atLeast"/>
              <w:ind w:right="0" w:rightChars="0"/>
              <w:jc w:val="center"/>
              <w:textAlignment w:val="auto"/>
              <w:outlineLvl w:val="9"/>
              <w:rPr>
                <w:rFonts w:hint="eastAsia" w:ascii="仿宋" w:hAnsi="仿宋" w:eastAsia="仿宋" w:cs="仿宋"/>
                <w:sz w:val="32"/>
                <w:szCs w:val="32"/>
                <w:vertAlign w:val="baseline"/>
              </w:rPr>
            </w:pPr>
            <w:r>
              <w:rPr>
                <w:rFonts w:hint="eastAsia" w:ascii="仿宋" w:hAnsi="仿宋" w:eastAsia="仿宋" w:cs="仿宋"/>
                <w:sz w:val="32"/>
                <w:szCs w:val="32"/>
              </w:rPr>
              <w:t>1.0</w:t>
            </w:r>
          </w:p>
        </w:tc>
        <w:tc>
          <w:tcPr>
            <w:tcW w:w="3468" w:type="dxa"/>
            <w:vMerge w:val="continue"/>
          </w:tcPr>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jc w:val="center"/>
              <w:textAlignment w:val="auto"/>
              <w:outlineLvl w:val="9"/>
              <w:rPr>
                <w:rFonts w:hint="eastAsia" w:ascii="仿宋" w:hAnsi="仿宋" w:eastAsia="仿宋" w:cs="仿宋"/>
                <w:sz w:val="32"/>
                <w:szCs w:val="32"/>
                <w:vertAlign w:val="baseline"/>
              </w:rPr>
            </w:pPr>
          </w:p>
        </w:tc>
      </w:tr>
    </w:tbl>
    <w:p>
      <w:pPr>
        <w:keepNext w:val="0"/>
        <w:keepLines w:val="0"/>
        <w:pageBreakBefore w:val="0"/>
        <w:widowControl w:val="0"/>
        <w:numPr>
          <w:ilvl w:val="0"/>
          <w:numId w:val="1"/>
        </w:numPr>
        <w:kinsoku/>
        <w:wordWrap/>
        <w:overflowPunct/>
        <w:topLinePunct w:val="0"/>
        <w:autoSpaceDE/>
        <w:autoSpaceDN/>
        <w:bidi w:val="0"/>
        <w:adjustRightInd/>
        <w:snapToGrid/>
        <w:spacing w:before="313" w:beforeLines="100" w:line="560" w:lineRule="atLeast"/>
        <w:ind w:left="0" w:leftChars="0" w:right="0" w:rightChars="0" w:firstLine="64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rPr>
        <w:t>架空平台范围以外的绿化按现行规划管理技术规定执</w:t>
      </w:r>
      <w:r>
        <w:rPr>
          <w:rFonts w:hint="eastAsia" w:ascii="仿宋" w:hAnsi="仿宋" w:eastAsia="仿宋" w:cs="仿宋"/>
          <w:sz w:val="32"/>
          <w:szCs w:val="32"/>
          <w:lang w:val="en-US" w:eastAsia="zh-CN"/>
        </w:rPr>
        <w:t>行；</w:t>
      </w:r>
    </w:p>
    <w:p>
      <w:pPr>
        <w:keepNext w:val="0"/>
        <w:keepLines w:val="0"/>
        <w:pageBreakBefore w:val="0"/>
        <w:widowControl w:val="0"/>
        <w:numPr>
          <w:ilvl w:val="0"/>
          <w:numId w:val="1"/>
        </w:numPr>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绿地率为架空平台范围内外绿地面积之和与用地面积的</w:t>
      </w:r>
      <w:r>
        <w:rPr>
          <w:rFonts w:hint="eastAsia" w:ascii="仿宋" w:hAnsi="仿宋" w:eastAsia="仿宋" w:cs="仿宋"/>
          <w:sz w:val="32"/>
          <w:szCs w:val="32"/>
          <w:lang w:val="en-US" w:eastAsia="zh-CN"/>
        </w:rPr>
        <w:t>比值。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atLeast"/>
        <w:ind w:left="0" w:leftChars="0" w:right="0" w:rightChars="0" w:firstLine="960" w:firstLineChars="300"/>
        <w:textAlignment w:val="auto"/>
        <w:outlineLvl w:val="9"/>
        <w:rPr>
          <w:rFonts w:hint="eastAsia" w:ascii="仿宋" w:hAnsi="仿宋" w:eastAsia="仿宋" w:cs="仿宋"/>
          <w:sz w:val="32"/>
          <w:szCs w:val="32"/>
        </w:rPr>
      </w:pPr>
      <w:r>
        <w:rPr>
          <w:rFonts w:hint="eastAsia" w:ascii="仿宋" w:hAnsi="仿宋" w:eastAsia="仿宋" w:cs="仿宋"/>
          <w:sz w:val="32"/>
          <w:szCs w:val="32"/>
        </w:rPr>
        <w:t>5.建筑高度</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（1）架空平台范围以内建筑以架空平台室外地坪（含覆土）计算建筑高度（详见附图5）。</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（2）架空平台范围以外建筑按现行规划管理技术规定执行。</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（3）对于有限高要求的区域</w:t>
      </w:r>
      <w:r>
        <w:rPr>
          <w:rFonts w:hint="eastAsia" w:ascii="仿宋" w:hAnsi="仿宋" w:eastAsia="仿宋" w:cs="仿宋"/>
          <w:sz w:val="32"/>
          <w:szCs w:val="32"/>
          <w:lang w:eastAsia="zh-CN"/>
        </w:rPr>
        <w:t>，</w:t>
      </w:r>
      <w:r>
        <w:rPr>
          <w:rFonts w:hint="eastAsia" w:ascii="仿宋" w:hAnsi="仿宋" w:eastAsia="仿宋" w:cs="仿宋"/>
          <w:sz w:val="32"/>
          <w:szCs w:val="32"/>
        </w:rPr>
        <w:t>按架空平台以上建筑高度与架空平台高度之和计算高度。</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（4）当建筑位于机场、电台、电信、微波通信、气象台、卫星地面站、军事要塞工程等设施的技术作业控制区内及机场航线控制范围内时</w:t>
      </w:r>
      <w:r>
        <w:rPr>
          <w:rFonts w:hint="eastAsia" w:ascii="仿宋" w:hAnsi="仿宋" w:eastAsia="仿宋" w:cs="仿宋"/>
          <w:sz w:val="32"/>
          <w:szCs w:val="32"/>
          <w:lang w:eastAsia="zh-CN"/>
        </w:rPr>
        <w:t>，</w:t>
      </w:r>
      <w:r>
        <w:rPr>
          <w:rFonts w:hint="eastAsia" w:ascii="仿宋" w:hAnsi="仿宋" w:eastAsia="仿宋" w:cs="仿宋"/>
          <w:sz w:val="32"/>
          <w:szCs w:val="32"/>
        </w:rPr>
        <w:t>应按净空要求控制建筑高度及设备高度。</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6.建筑间距</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（1）架空平台按照低层建筑间距执行（详见附图6）。</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（2）架空平台范围以内建筑之间间距以架空平台室外地坪（含覆土）为计算基准面计算建筑高度后</w:t>
      </w:r>
      <w:r>
        <w:rPr>
          <w:rFonts w:hint="eastAsia" w:ascii="仿宋" w:hAnsi="仿宋" w:eastAsia="仿宋" w:cs="仿宋"/>
          <w:sz w:val="32"/>
          <w:szCs w:val="32"/>
          <w:lang w:eastAsia="zh-CN"/>
        </w:rPr>
        <w:t>，</w:t>
      </w:r>
      <w:r>
        <w:rPr>
          <w:rFonts w:hint="eastAsia" w:ascii="仿宋" w:hAnsi="仿宋" w:eastAsia="仿宋" w:cs="仿宋"/>
          <w:sz w:val="32"/>
          <w:szCs w:val="32"/>
        </w:rPr>
        <w:t>按现行规划管理技术规定执行。</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（3）架空平台范围以内的建筑与平台范围以外的建筑之间</w:t>
      </w:r>
      <w:r>
        <w:rPr>
          <w:rFonts w:hint="eastAsia" w:ascii="仿宋" w:hAnsi="仿宋" w:eastAsia="仿宋" w:cs="仿宋"/>
          <w:sz w:val="32"/>
          <w:szCs w:val="32"/>
          <w:lang w:val="en-US" w:eastAsia="zh-CN"/>
        </w:rPr>
        <w:t>间距</w:t>
      </w:r>
      <w:r>
        <w:rPr>
          <w:rFonts w:hint="eastAsia" w:ascii="仿宋" w:hAnsi="仿宋" w:eastAsia="仿宋" w:cs="仿宋"/>
          <w:sz w:val="32"/>
          <w:szCs w:val="32"/>
        </w:rPr>
        <w:t>以平台范围以外的室外地坪计算建筑高度后</w:t>
      </w:r>
      <w:r>
        <w:rPr>
          <w:rFonts w:hint="eastAsia" w:ascii="仿宋" w:hAnsi="仿宋" w:eastAsia="仿宋" w:cs="仿宋"/>
          <w:sz w:val="32"/>
          <w:szCs w:val="32"/>
          <w:lang w:eastAsia="zh-CN"/>
        </w:rPr>
        <w:t>，</w:t>
      </w:r>
      <w:r>
        <w:rPr>
          <w:rFonts w:hint="eastAsia" w:ascii="仿宋" w:hAnsi="仿宋" w:eastAsia="仿宋" w:cs="仿宋"/>
          <w:sz w:val="32"/>
          <w:szCs w:val="32"/>
        </w:rPr>
        <w:t>按现行规划管理技术规定执行。</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7.建筑退让</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（1）架空平台中的停车功能区在现行规划管理技术规定要求的基础上加大退让</w:t>
      </w:r>
      <w:r>
        <w:rPr>
          <w:rFonts w:hint="eastAsia" w:ascii="仿宋" w:hAnsi="仿宋" w:eastAsia="仿宋" w:cs="仿宋"/>
          <w:sz w:val="32"/>
          <w:szCs w:val="32"/>
          <w:lang w:eastAsia="zh-CN"/>
        </w:rPr>
        <w:t>，</w:t>
      </w:r>
      <w:r>
        <w:rPr>
          <w:rFonts w:hint="eastAsia" w:ascii="仿宋" w:hAnsi="仿宋" w:eastAsia="仿宋" w:cs="仿宋"/>
          <w:sz w:val="32"/>
          <w:szCs w:val="32"/>
        </w:rPr>
        <w:t>加大退让的距离不小于4</w:t>
      </w:r>
      <w:r>
        <w:rPr>
          <w:rFonts w:hint="eastAsia" w:ascii="仿宋" w:hAnsi="仿宋" w:eastAsia="仿宋" w:cs="仿宋"/>
          <w:sz w:val="32"/>
          <w:szCs w:val="32"/>
          <w:lang w:eastAsia="zh-CN"/>
        </w:rPr>
        <w:t>米</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（2）架空平台及其范围内外的建筑均以架空平台范围外室外地坪计算建筑高度后</w:t>
      </w:r>
      <w:r>
        <w:rPr>
          <w:rFonts w:hint="eastAsia" w:ascii="仿宋" w:hAnsi="仿宋" w:eastAsia="仿宋" w:cs="仿宋"/>
          <w:sz w:val="32"/>
          <w:szCs w:val="32"/>
          <w:lang w:eastAsia="zh-CN"/>
        </w:rPr>
        <w:t>，</w:t>
      </w:r>
      <w:r>
        <w:rPr>
          <w:rFonts w:hint="eastAsia" w:ascii="仿宋" w:hAnsi="仿宋" w:eastAsia="仿宋" w:cs="仿宋"/>
          <w:sz w:val="32"/>
          <w:szCs w:val="32"/>
        </w:rPr>
        <w:t>按现行规划管理技术规定执行。</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8.架空平台限高</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架空平台室外地坪（含覆土）不应高于周边</w:t>
      </w:r>
      <w:r>
        <w:rPr>
          <w:rFonts w:hint="eastAsia" w:ascii="仿宋" w:hAnsi="仿宋" w:eastAsia="仿宋" w:cs="仿宋"/>
          <w:sz w:val="32"/>
          <w:szCs w:val="32"/>
          <w:lang w:val="en-US" w:eastAsia="zh-CN"/>
        </w:rPr>
        <w:t>市政</w:t>
      </w:r>
      <w:r>
        <w:rPr>
          <w:rFonts w:hint="eastAsia" w:ascii="仿宋" w:hAnsi="仿宋" w:eastAsia="仿宋" w:cs="仿宋"/>
          <w:sz w:val="32"/>
          <w:szCs w:val="32"/>
        </w:rPr>
        <w:t>道路或相邻地块6</w:t>
      </w:r>
      <w:r>
        <w:rPr>
          <w:rFonts w:hint="eastAsia" w:ascii="仿宋" w:hAnsi="仿宋" w:eastAsia="仿宋" w:cs="仿宋"/>
          <w:sz w:val="32"/>
          <w:szCs w:val="32"/>
          <w:lang w:eastAsia="zh-CN"/>
        </w:rPr>
        <w:t>米</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9.公共开放空间要求</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（1）利用架空平台设置的公共开放空间至少要有一个长边临开敞面。</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（2）架空平台以上和架空平台以下设置的公共开放空间总面积不得小于住宅首层面积的30%。</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10.城市界面空间管控</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（1）架空平台沿城市界面鼓励设置公共开放空间或进行绿化景观处理</w:t>
      </w:r>
      <w:r>
        <w:rPr>
          <w:rFonts w:hint="eastAsia" w:ascii="仿宋" w:hAnsi="仿宋" w:eastAsia="仿宋" w:cs="仿宋"/>
          <w:sz w:val="32"/>
          <w:szCs w:val="32"/>
          <w:lang w:eastAsia="zh-CN"/>
        </w:rPr>
        <w:t>，</w:t>
      </w:r>
      <w:r>
        <w:rPr>
          <w:rFonts w:hint="eastAsia" w:ascii="仿宋" w:hAnsi="仿宋" w:eastAsia="仿宋" w:cs="仿宋"/>
          <w:sz w:val="32"/>
          <w:szCs w:val="32"/>
        </w:rPr>
        <w:t>不得设置连续的实体墙体；架空平台任意单边开敞面的比例不应小于其长度的50%</w:t>
      </w:r>
      <w:r>
        <w:rPr>
          <w:rFonts w:hint="eastAsia" w:ascii="仿宋" w:hAnsi="仿宋" w:eastAsia="仿宋" w:cs="仿宋"/>
          <w:sz w:val="32"/>
          <w:szCs w:val="32"/>
          <w:lang w:eastAsia="zh-CN"/>
        </w:rPr>
        <w:t>，</w:t>
      </w:r>
      <w:r>
        <w:rPr>
          <w:rFonts w:hint="eastAsia" w:ascii="仿宋" w:hAnsi="仿宋" w:eastAsia="仿宋" w:cs="仿宋"/>
          <w:sz w:val="32"/>
          <w:szCs w:val="32"/>
        </w:rPr>
        <w:t>架空平台的防护栏杆应采用透空式。</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（2）临架空平</w:t>
      </w:r>
      <w:r>
        <w:rPr>
          <w:rFonts w:hint="eastAsia" w:ascii="仿宋" w:hAnsi="仿宋" w:eastAsia="仿宋" w:cs="仿宋"/>
          <w:sz w:val="32"/>
          <w:szCs w:val="32"/>
          <w:lang w:val="en-US" w:eastAsia="zh-CN"/>
        </w:rPr>
        <w:t>台</w:t>
      </w:r>
      <w:r>
        <w:rPr>
          <w:rFonts w:hint="eastAsia" w:ascii="仿宋" w:hAnsi="仿宋" w:eastAsia="仿宋" w:cs="仿宋"/>
          <w:sz w:val="32"/>
          <w:szCs w:val="32"/>
        </w:rPr>
        <w:t>界面的围墙内侧宜设置宽度不小于2</w:t>
      </w:r>
      <w:r>
        <w:rPr>
          <w:rFonts w:hint="eastAsia" w:ascii="仿宋" w:hAnsi="仿宋" w:eastAsia="仿宋" w:cs="仿宋"/>
          <w:sz w:val="32"/>
          <w:szCs w:val="32"/>
          <w:lang w:eastAsia="zh-CN"/>
        </w:rPr>
        <w:t>米</w:t>
      </w:r>
      <w:r>
        <w:rPr>
          <w:rFonts w:hint="eastAsia" w:ascii="仿宋" w:hAnsi="仿宋" w:eastAsia="仿宋" w:cs="仿宋"/>
          <w:sz w:val="32"/>
          <w:szCs w:val="32"/>
        </w:rPr>
        <w:t>的绿化空间</w:t>
      </w:r>
      <w:r>
        <w:rPr>
          <w:rFonts w:hint="eastAsia" w:ascii="仿宋" w:hAnsi="仿宋" w:eastAsia="仿宋" w:cs="仿宋"/>
          <w:sz w:val="32"/>
          <w:szCs w:val="32"/>
          <w:lang w:eastAsia="zh-CN"/>
        </w:rPr>
        <w:t>，</w:t>
      </w:r>
      <w:r>
        <w:rPr>
          <w:rFonts w:hint="eastAsia" w:ascii="仿宋" w:hAnsi="仿宋" w:eastAsia="仿宋" w:cs="仿宋"/>
          <w:sz w:val="32"/>
          <w:szCs w:val="32"/>
        </w:rPr>
        <w:t>围墙应采用通透式</w:t>
      </w:r>
      <w:r>
        <w:rPr>
          <w:rFonts w:hint="eastAsia" w:ascii="仿宋" w:hAnsi="仿宋" w:eastAsia="仿宋" w:cs="仿宋"/>
          <w:sz w:val="32"/>
          <w:szCs w:val="32"/>
          <w:lang w:eastAsia="zh-CN"/>
        </w:rPr>
        <w:t>，</w:t>
      </w:r>
      <w:r>
        <w:rPr>
          <w:rFonts w:hint="eastAsia" w:ascii="仿宋" w:hAnsi="仿宋" w:eastAsia="仿宋" w:cs="仿宋"/>
          <w:sz w:val="32"/>
          <w:szCs w:val="32"/>
        </w:rPr>
        <w:t>通透率不应小于50%（详见附图7）。</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（3）架空平台临近既有住宅界面</w:t>
      </w:r>
      <w:r>
        <w:rPr>
          <w:rFonts w:hint="eastAsia" w:ascii="仿宋" w:hAnsi="仿宋" w:eastAsia="仿宋" w:cs="仿宋"/>
          <w:sz w:val="32"/>
          <w:szCs w:val="32"/>
          <w:lang w:eastAsia="zh-CN"/>
        </w:rPr>
        <w:t>，</w:t>
      </w:r>
      <w:r>
        <w:rPr>
          <w:rFonts w:hint="eastAsia" w:ascii="仿宋" w:hAnsi="仿宋" w:eastAsia="仿宋" w:cs="仿宋"/>
          <w:sz w:val="32"/>
          <w:szCs w:val="32"/>
        </w:rPr>
        <w:t>应协调相互关系</w:t>
      </w:r>
      <w:r>
        <w:rPr>
          <w:rFonts w:hint="eastAsia" w:ascii="仿宋" w:hAnsi="仿宋" w:eastAsia="仿宋" w:cs="仿宋"/>
          <w:sz w:val="32"/>
          <w:szCs w:val="32"/>
          <w:lang w:eastAsia="zh-CN"/>
        </w:rPr>
        <w:t>，</w:t>
      </w:r>
      <w:r>
        <w:rPr>
          <w:rFonts w:hint="eastAsia" w:ascii="仿宋" w:hAnsi="仿宋" w:eastAsia="仿宋" w:cs="仿宋"/>
          <w:sz w:val="32"/>
          <w:szCs w:val="32"/>
        </w:rPr>
        <w:t>减少对既有住宅噪声、光线及视觉干扰等影响。</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（4）架空平台范围以外的地面停车率不得超过10%</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11.公共服务设施布置要求</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（1）设置架空平台的住宅小区</w:t>
      </w:r>
      <w:r>
        <w:rPr>
          <w:rFonts w:hint="eastAsia" w:ascii="仿宋" w:hAnsi="仿宋" w:eastAsia="仿宋" w:cs="仿宋"/>
          <w:sz w:val="32"/>
          <w:szCs w:val="32"/>
          <w:lang w:eastAsia="zh-CN"/>
        </w:rPr>
        <w:t>，</w:t>
      </w:r>
      <w:r>
        <w:rPr>
          <w:rFonts w:hint="eastAsia" w:ascii="仿宋" w:hAnsi="仿宋" w:eastAsia="仿宋" w:cs="仿宋"/>
          <w:sz w:val="32"/>
          <w:szCs w:val="32"/>
        </w:rPr>
        <w:t>涉及配建的公用开闭所、配电房、备用发电机房等供配电设施用房</w:t>
      </w:r>
      <w:r>
        <w:rPr>
          <w:rFonts w:hint="eastAsia" w:ascii="仿宋" w:hAnsi="仿宋" w:eastAsia="仿宋" w:cs="仿宋"/>
          <w:sz w:val="32"/>
          <w:szCs w:val="32"/>
          <w:lang w:eastAsia="zh-CN"/>
        </w:rPr>
        <w:t>，</w:t>
      </w:r>
      <w:r>
        <w:rPr>
          <w:rFonts w:hint="eastAsia" w:ascii="仿宋" w:hAnsi="仿宋" w:eastAsia="仿宋" w:cs="仿宋"/>
          <w:sz w:val="32"/>
          <w:szCs w:val="32"/>
        </w:rPr>
        <w:t>垃圾集中投放点、通讯机房、消防控制室等市政配套设施应与架空平台一体化设计。</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（2）有防涝要求的配套设施用房</w:t>
      </w:r>
      <w:r>
        <w:rPr>
          <w:rFonts w:hint="eastAsia" w:ascii="仿宋" w:hAnsi="仿宋" w:eastAsia="仿宋" w:cs="仿宋"/>
          <w:sz w:val="32"/>
          <w:szCs w:val="32"/>
          <w:lang w:eastAsia="zh-CN"/>
        </w:rPr>
        <w:t>，</w:t>
      </w:r>
      <w:r>
        <w:rPr>
          <w:rFonts w:hint="eastAsia" w:ascii="仿宋" w:hAnsi="仿宋" w:eastAsia="仿宋" w:cs="仿宋"/>
          <w:sz w:val="32"/>
          <w:szCs w:val="32"/>
        </w:rPr>
        <w:t>不应设在地势低洼和可能积水的场所</w:t>
      </w:r>
      <w:r>
        <w:rPr>
          <w:rFonts w:hint="eastAsia" w:ascii="仿宋" w:hAnsi="仿宋" w:eastAsia="仿宋" w:cs="仿宋"/>
          <w:sz w:val="32"/>
          <w:szCs w:val="32"/>
          <w:lang w:eastAsia="zh-CN"/>
        </w:rPr>
        <w:t>，</w:t>
      </w:r>
      <w:r>
        <w:rPr>
          <w:rFonts w:hint="eastAsia" w:ascii="仿宋" w:hAnsi="仿宋" w:eastAsia="仿宋" w:cs="仿宋"/>
          <w:sz w:val="32"/>
          <w:szCs w:val="32"/>
        </w:rPr>
        <w:t>并高于当地防涝用地高程。</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（3）利用架空平台设置的养老用房、托育等各项公共服务设施应布置在交通便利、环境优美、采光通风条件良好的区域</w:t>
      </w:r>
      <w:r>
        <w:rPr>
          <w:rFonts w:hint="eastAsia" w:ascii="仿宋" w:hAnsi="仿宋" w:eastAsia="仿宋" w:cs="仿宋"/>
          <w:sz w:val="32"/>
          <w:szCs w:val="32"/>
          <w:lang w:eastAsia="zh-CN"/>
        </w:rPr>
        <w:t>，</w:t>
      </w:r>
      <w:r>
        <w:rPr>
          <w:rFonts w:hint="eastAsia" w:ascii="仿宋" w:hAnsi="仿宋" w:eastAsia="仿宋" w:cs="仿宋"/>
          <w:sz w:val="32"/>
          <w:szCs w:val="32"/>
        </w:rPr>
        <w:t>同时满足相关技术规范要求。</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（四）人防要求</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架空平台停车功能及设备用房建筑面积不计入人防工程面积计算基数。</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3" w:firstLineChars="200"/>
        <w:textAlignment w:val="auto"/>
        <w:outlineLvl w:val="9"/>
        <w:rPr>
          <w:rFonts w:hint="eastAsia" w:ascii="仿宋" w:hAnsi="仿宋" w:eastAsia="仿宋" w:cs="仿宋"/>
          <w:b/>
          <w:bCs/>
          <w:sz w:val="32"/>
          <w:szCs w:val="32"/>
        </w:rPr>
      </w:pPr>
      <w:r>
        <w:rPr>
          <w:rFonts w:hint="eastAsia" w:ascii="仿宋" w:hAnsi="仿宋" w:eastAsia="仿宋" w:cs="仿宋"/>
          <w:b/>
          <w:bCs/>
          <w:sz w:val="32"/>
          <w:szCs w:val="32"/>
        </w:rPr>
        <w:t>二、允许建设立体停车楼</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（一）适用范围</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立体停车楼原则上优先在保障性租赁住房和沿城市快速路、主干路等噪音较大的地块或不规则地块建设。</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（二）计算规则</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1.独立设置且专门用于停车的停车楼</w:t>
      </w:r>
      <w:r>
        <w:rPr>
          <w:rFonts w:hint="eastAsia" w:ascii="仿宋" w:hAnsi="仿宋" w:eastAsia="仿宋" w:cs="仿宋"/>
          <w:sz w:val="32"/>
          <w:szCs w:val="32"/>
          <w:lang w:eastAsia="zh-CN"/>
        </w:rPr>
        <w:t>，</w:t>
      </w:r>
      <w:r>
        <w:rPr>
          <w:rFonts w:hint="eastAsia" w:ascii="仿宋" w:hAnsi="仿宋" w:eastAsia="仿宋" w:cs="仿宋"/>
          <w:sz w:val="32"/>
          <w:szCs w:val="32"/>
        </w:rPr>
        <w:t>不</w:t>
      </w:r>
      <w:r>
        <w:rPr>
          <w:rFonts w:hint="eastAsia" w:ascii="仿宋" w:hAnsi="仿宋" w:eastAsia="仿宋" w:cs="仿宋"/>
          <w:sz w:val="32"/>
          <w:szCs w:val="32"/>
          <w:lang w:val="en-US" w:eastAsia="zh-CN"/>
        </w:rPr>
        <w:t>计</w:t>
      </w:r>
      <w:r>
        <w:rPr>
          <w:rFonts w:hint="eastAsia" w:ascii="仿宋" w:hAnsi="仿宋" w:eastAsia="仿宋" w:cs="仿宋"/>
          <w:sz w:val="32"/>
          <w:szCs w:val="32"/>
        </w:rPr>
        <w:t>入容积率计算。</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2.独立设置立体停车楼的小区</w:t>
      </w:r>
      <w:r>
        <w:rPr>
          <w:rFonts w:hint="eastAsia" w:ascii="仿宋" w:hAnsi="仿宋" w:eastAsia="仿宋" w:cs="仿宋"/>
          <w:sz w:val="32"/>
          <w:szCs w:val="32"/>
          <w:lang w:eastAsia="zh-CN"/>
        </w:rPr>
        <w:t>，</w:t>
      </w:r>
      <w:r>
        <w:rPr>
          <w:rFonts w:hint="eastAsia" w:ascii="仿宋" w:hAnsi="仿宋" w:eastAsia="仿宋" w:cs="仿宋"/>
          <w:sz w:val="32"/>
          <w:szCs w:val="32"/>
        </w:rPr>
        <w:t>其绿地率计算为绿地面积与扣除停车楼基底以外的建设用地面积的比率</w:t>
      </w:r>
      <w:r>
        <w:rPr>
          <w:rFonts w:hint="eastAsia" w:ascii="仿宋" w:hAnsi="仿宋" w:eastAsia="仿宋" w:cs="仿宋"/>
          <w:sz w:val="32"/>
          <w:szCs w:val="32"/>
          <w:lang w:eastAsia="zh-CN"/>
        </w:rPr>
        <w:t>，</w:t>
      </w:r>
      <w:r>
        <w:rPr>
          <w:rFonts w:hint="eastAsia" w:ascii="仿宋" w:hAnsi="仿宋" w:eastAsia="仿宋" w:cs="仿宋"/>
          <w:sz w:val="32"/>
          <w:szCs w:val="32"/>
        </w:rPr>
        <w:t>停车楼的建筑基底面积不计建筑密度（详见附图8）。</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3.停车楼内可同步设置住宅小区配套的公用开闭所、局管配电房、公厕、垃圾收集房等市政设施</w:t>
      </w:r>
      <w:r>
        <w:rPr>
          <w:rFonts w:hint="eastAsia" w:ascii="仿宋" w:hAnsi="仿宋" w:eastAsia="仿宋" w:cs="仿宋"/>
          <w:sz w:val="32"/>
          <w:szCs w:val="32"/>
          <w:lang w:eastAsia="zh-CN"/>
        </w:rPr>
        <w:t>，</w:t>
      </w:r>
      <w:r>
        <w:rPr>
          <w:rFonts w:hint="eastAsia" w:ascii="仿宋" w:hAnsi="仿宋" w:eastAsia="仿宋" w:cs="仿宋"/>
          <w:sz w:val="32"/>
          <w:szCs w:val="32"/>
        </w:rPr>
        <w:t>其建筑面积不计容积率。</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4.停车楼设置相关市政设施时</w:t>
      </w:r>
      <w:r>
        <w:rPr>
          <w:rFonts w:hint="eastAsia" w:ascii="仿宋" w:hAnsi="仿宋" w:eastAsia="仿宋" w:cs="仿宋"/>
          <w:sz w:val="32"/>
          <w:szCs w:val="32"/>
          <w:lang w:eastAsia="zh-CN"/>
        </w:rPr>
        <w:t>，</w:t>
      </w:r>
      <w:r>
        <w:rPr>
          <w:rFonts w:hint="eastAsia" w:ascii="仿宋" w:hAnsi="仿宋" w:eastAsia="仿宋" w:cs="仿宋"/>
          <w:sz w:val="32"/>
          <w:szCs w:val="32"/>
        </w:rPr>
        <w:t>应符合规范要求</w:t>
      </w:r>
      <w:r>
        <w:rPr>
          <w:rFonts w:hint="eastAsia" w:ascii="仿宋" w:hAnsi="仿宋" w:eastAsia="仿宋" w:cs="仿宋"/>
          <w:sz w:val="32"/>
          <w:szCs w:val="32"/>
          <w:lang w:eastAsia="zh-CN"/>
        </w:rPr>
        <w:t>，</w:t>
      </w:r>
      <w:r>
        <w:rPr>
          <w:rFonts w:hint="eastAsia" w:ascii="仿宋" w:hAnsi="仿宋" w:eastAsia="仿宋" w:cs="仿宋"/>
          <w:sz w:val="32"/>
          <w:szCs w:val="32"/>
        </w:rPr>
        <w:t>做好防火分隔、防水、防涝等措施。</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color w:val="FF0000"/>
          <w:sz w:val="32"/>
          <w:szCs w:val="32"/>
        </w:rPr>
      </w:pPr>
      <w:r>
        <w:rPr>
          <w:rFonts w:hint="eastAsia" w:ascii="仿宋" w:hAnsi="仿宋" w:eastAsia="仿宋" w:cs="仿宋"/>
          <w:sz w:val="32"/>
          <w:szCs w:val="32"/>
        </w:rPr>
        <w:t>三、</w:t>
      </w:r>
      <w:r>
        <w:rPr>
          <w:rFonts w:hint="eastAsia" w:ascii="仿宋" w:hAnsi="仿宋" w:eastAsia="仿宋" w:cs="仿宋"/>
          <w:sz w:val="32"/>
          <w:szCs w:val="32"/>
          <w:lang w:val="en-US" w:eastAsia="zh-CN"/>
        </w:rPr>
        <w:t>按照本规定在架空层</w:t>
      </w:r>
      <w:r>
        <w:rPr>
          <w:rFonts w:hint="eastAsia" w:ascii="仿宋" w:hAnsi="仿宋" w:eastAsia="仿宋" w:cs="仿宋"/>
          <w:sz w:val="32"/>
          <w:szCs w:val="32"/>
        </w:rPr>
        <w:t>配建</w:t>
      </w:r>
      <w:r>
        <w:rPr>
          <w:rFonts w:hint="eastAsia" w:ascii="仿宋" w:hAnsi="仿宋" w:eastAsia="仿宋" w:cs="仿宋"/>
          <w:sz w:val="32"/>
          <w:szCs w:val="32"/>
          <w:lang w:eastAsia="zh-CN"/>
        </w:rPr>
        <w:t>的</w:t>
      </w:r>
      <w:r>
        <w:rPr>
          <w:rFonts w:hint="eastAsia" w:ascii="仿宋" w:hAnsi="仿宋" w:eastAsia="仿宋" w:cs="仿宋"/>
          <w:sz w:val="32"/>
          <w:szCs w:val="32"/>
        </w:rPr>
        <w:t>机动车位中</w:t>
      </w:r>
      <w:r>
        <w:rPr>
          <w:rFonts w:hint="eastAsia" w:ascii="仿宋" w:hAnsi="仿宋" w:eastAsia="仿宋" w:cs="仿宋"/>
          <w:sz w:val="32"/>
          <w:szCs w:val="32"/>
          <w:lang w:eastAsia="zh-CN"/>
        </w:rPr>
        <w:t>，</w:t>
      </w:r>
      <w:r>
        <w:rPr>
          <w:rFonts w:hint="eastAsia" w:ascii="仿宋" w:hAnsi="仿宋" w:eastAsia="仿宋" w:cs="仿宋"/>
          <w:sz w:val="32"/>
          <w:szCs w:val="32"/>
        </w:rPr>
        <w:t>允许设置一定比例的子母停车位</w:t>
      </w:r>
      <w:r>
        <w:rPr>
          <w:rFonts w:hint="eastAsia" w:ascii="仿宋" w:hAnsi="仿宋" w:eastAsia="仿宋" w:cs="仿宋"/>
          <w:sz w:val="32"/>
          <w:szCs w:val="32"/>
          <w:lang w:eastAsia="zh-CN"/>
        </w:rPr>
        <w:t>，</w:t>
      </w:r>
      <w:r>
        <w:rPr>
          <w:rFonts w:hint="eastAsia" w:ascii="仿宋" w:hAnsi="仿宋" w:eastAsia="仿宋" w:cs="仿宋"/>
          <w:sz w:val="32"/>
          <w:szCs w:val="32"/>
        </w:rPr>
        <w:t>子母停车位均应按标准车位尺寸设置</w:t>
      </w:r>
      <w:r>
        <w:rPr>
          <w:rFonts w:hint="eastAsia" w:ascii="仿宋" w:hAnsi="仿宋" w:eastAsia="仿宋" w:cs="仿宋"/>
          <w:sz w:val="32"/>
          <w:szCs w:val="32"/>
          <w:lang w:eastAsia="zh-CN"/>
        </w:rPr>
        <w:t>，</w:t>
      </w:r>
      <w:r>
        <w:rPr>
          <w:rFonts w:hint="eastAsia" w:ascii="仿宋" w:hAnsi="仿宋" w:eastAsia="仿宋" w:cs="仿宋"/>
          <w:sz w:val="32"/>
          <w:szCs w:val="32"/>
        </w:rPr>
        <w:t>一个子母车位按1.5个标准车位折算；其总量不得超过标准车位总量的5%。</w:t>
      </w:r>
      <w:r>
        <w:rPr>
          <w:rFonts w:hint="eastAsia" w:ascii="仿宋" w:hAnsi="仿宋" w:eastAsia="仿宋" w:cs="仿宋"/>
          <w:color w:val="000000" w:themeColor="text1"/>
          <w:sz w:val="32"/>
          <w:szCs w:val="32"/>
          <w14:textFill>
            <w14:solidFill>
              <w14:schemeClr w14:val="tx1"/>
            </w14:solidFill>
          </w14:textFill>
        </w:rPr>
        <w:t>子母停车位应整体销售和登记产权</w:t>
      </w:r>
      <w:r>
        <w:rPr>
          <w:rFonts w:hint="eastAsia" w:ascii="仿宋" w:hAnsi="仿宋" w:eastAsia="仿宋" w:cs="仿宋"/>
          <w:color w:val="000000" w:themeColor="text1"/>
          <w:sz w:val="32"/>
          <w:szCs w:val="32"/>
          <w:lang w:eastAsia="zh-CN"/>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不得分割。</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四、新建住宅小区在满足绿地率、道路通行等规划要求前提下</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架空层以上十一层及以下</w:t>
      </w:r>
      <w:r>
        <w:rPr>
          <w:rFonts w:hint="eastAsia" w:ascii="仿宋" w:hAnsi="仿宋" w:eastAsia="仿宋" w:cs="仿宋"/>
          <w:sz w:val="32"/>
          <w:szCs w:val="32"/>
        </w:rPr>
        <w:t>住宅建筑允许设置室外专用庭院（含下沉庭院）。室外专用庭院（含下沉庭院）不计入建筑密度、公共绿化面积和绿地率</w:t>
      </w:r>
      <w:r>
        <w:rPr>
          <w:rFonts w:hint="eastAsia" w:ascii="仿宋" w:hAnsi="仿宋" w:eastAsia="仿宋" w:cs="仿宋"/>
          <w:sz w:val="32"/>
          <w:szCs w:val="32"/>
          <w:lang w:eastAsia="zh-CN"/>
        </w:rPr>
        <w:t>，</w:t>
      </w:r>
      <w:r>
        <w:rPr>
          <w:rFonts w:hint="eastAsia" w:ascii="仿宋" w:hAnsi="仿宋" w:eastAsia="仿宋" w:cs="仿宋"/>
          <w:sz w:val="32"/>
          <w:szCs w:val="32"/>
        </w:rPr>
        <w:t>且不纳入不动产登记：</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（一）室外专用庭院不得设置于住宅建筑北侧。</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（二）室外专用庭院同住宅建筑同步设计、同步实施、同步验收、同步交付</w:t>
      </w:r>
      <w:r>
        <w:rPr>
          <w:rFonts w:hint="eastAsia" w:ascii="仿宋" w:hAnsi="仿宋" w:eastAsia="仿宋" w:cs="仿宋"/>
          <w:sz w:val="32"/>
          <w:szCs w:val="32"/>
          <w:lang w:eastAsia="zh-CN"/>
        </w:rPr>
        <w:t>，</w:t>
      </w:r>
      <w:r>
        <w:rPr>
          <w:rFonts w:hint="eastAsia" w:ascii="仿宋" w:hAnsi="仿宋" w:eastAsia="仿宋" w:cs="仿宋"/>
          <w:sz w:val="32"/>
          <w:szCs w:val="32"/>
        </w:rPr>
        <w:t>其尺寸、界线及立面效果纳入建设工程设计方案审查内容。</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（三）室外专用庭院可统一设置起到景观、</w:t>
      </w:r>
      <w:r>
        <w:rPr>
          <w:rFonts w:hint="eastAsia" w:ascii="仿宋" w:hAnsi="仿宋" w:eastAsia="仿宋" w:cs="仿宋"/>
          <w:sz w:val="32"/>
          <w:szCs w:val="32"/>
          <w:lang w:val="en-US" w:eastAsia="zh-CN"/>
        </w:rPr>
        <w:t>遮</w:t>
      </w:r>
      <w:r>
        <w:rPr>
          <w:rFonts w:hint="eastAsia" w:ascii="仿宋" w:hAnsi="仿宋" w:eastAsia="仿宋" w:cs="仿宋"/>
          <w:sz w:val="32"/>
          <w:szCs w:val="32"/>
        </w:rPr>
        <w:t>挡作用的通透性围墙</w:t>
      </w:r>
      <w:r>
        <w:rPr>
          <w:rFonts w:hint="eastAsia" w:ascii="仿宋" w:hAnsi="仿宋" w:eastAsia="仿宋" w:cs="仿宋"/>
          <w:sz w:val="32"/>
          <w:szCs w:val="32"/>
          <w:lang w:eastAsia="zh-CN"/>
        </w:rPr>
        <w:t>，</w:t>
      </w:r>
      <w:r>
        <w:rPr>
          <w:rFonts w:hint="eastAsia" w:ascii="仿宋" w:hAnsi="仿宋" w:eastAsia="仿宋" w:cs="仿宋"/>
          <w:sz w:val="32"/>
          <w:szCs w:val="32"/>
        </w:rPr>
        <w:t>高度不大于1.6</w:t>
      </w:r>
      <w:r>
        <w:rPr>
          <w:rFonts w:hint="eastAsia" w:ascii="仿宋" w:hAnsi="仿宋" w:eastAsia="仿宋" w:cs="仿宋"/>
          <w:sz w:val="32"/>
          <w:szCs w:val="32"/>
          <w:lang w:eastAsia="zh-CN"/>
        </w:rPr>
        <w:t>米</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（四）室外专用庭院须设置安全遮挡设施</w:t>
      </w:r>
      <w:r>
        <w:rPr>
          <w:rFonts w:hint="eastAsia" w:ascii="仿宋" w:hAnsi="仿宋" w:eastAsia="仿宋" w:cs="仿宋"/>
          <w:sz w:val="32"/>
          <w:szCs w:val="32"/>
          <w:lang w:eastAsia="zh-CN"/>
        </w:rPr>
        <w:t>，</w:t>
      </w:r>
      <w:r>
        <w:rPr>
          <w:rFonts w:hint="eastAsia" w:ascii="仿宋" w:hAnsi="仿宋" w:eastAsia="仿宋" w:cs="仿宋"/>
          <w:sz w:val="32"/>
          <w:szCs w:val="32"/>
        </w:rPr>
        <w:t>防止高空坠物</w:t>
      </w:r>
      <w:r>
        <w:rPr>
          <w:rFonts w:hint="eastAsia" w:ascii="仿宋" w:hAnsi="仿宋" w:eastAsia="仿宋" w:cs="仿宋"/>
          <w:sz w:val="32"/>
          <w:szCs w:val="32"/>
          <w:lang w:eastAsia="zh-CN"/>
        </w:rPr>
        <w:t>，</w:t>
      </w:r>
      <w:r>
        <w:rPr>
          <w:rFonts w:hint="eastAsia" w:ascii="仿宋" w:hAnsi="仿宋" w:eastAsia="仿宋" w:cs="仿宋"/>
          <w:sz w:val="32"/>
          <w:szCs w:val="32"/>
        </w:rPr>
        <w:t>可设置统一尺度的顶棚</w:t>
      </w:r>
      <w:r>
        <w:rPr>
          <w:rFonts w:hint="eastAsia" w:ascii="仿宋" w:hAnsi="仿宋" w:eastAsia="仿宋" w:cs="仿宋"/>
          <w:sz w:val="32"/>
          <w:szCs w:val="32"/>
          <w:lang w:eastAsia="zh-CN"/>
        </w:rPr>
        <w:t>，</w:t>
      </w:r>
      <w:r>
        <w:rPr>
          <w:rFonts w:hint="eastAsia" w:ascii="仿宋" w:hAnsi="仿宋" w:eastAsia="仿宋" w:cs="仿宋"/>
          <w:sz w:val="32"/>
          <w:szCs w:val="32"/>
        </w:rPr>
        <w:t>顶棚与庭院同步设计、同步实施。</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（五）室外专用庭院可不纳入物业服务收费</w:t>
      </w:r>
      <w:r>
        <w:rPr>
          <w:rFonts w:hint="eastAsia" w:ascii="仿宋" w:hAnsi="仿宋" w:eastAsia="仿宋" w:cs="仿宋"/>
          <w:sz w:val="32"/>
          <w:szCs w:val="32"/>
          <w:lang w:eastAsia="zh-CN"/>
        </w:rPr>
        <w:t>，</w:t>
      </w:r>
      <w:r>
        <w:rPr>
          <w:rFonts w:hint="eastAsia" w:ascii="仿宋" w:hAnsi="仿宋" w:eastAsia="仿宋" w:cs="仿宋"/>
          <w:sz w:val="32"/>
          <w:szCs w:val="32"/>
        </w:rPr>
        <w:t>严禁在庭院内进行私搭乱建</w:t>
      </w:r>
      <w:r>
        <w:rPr>
          <w:rFonts w:hint="eastAsia" w:ascii="仿宋" w:hAnsi="仿宋" w:eastAsia="仿宋" w:cs="仿宋"/>
          <w:sz w:val="32"/>
          <w:szCs w:val="32"/>
          <w:lang w:eastAsia="zh-CN"/>
        </w:rPr>
        <w:t>，</w:t>
      </w:r>
      <w:r>
        <w:rPr>
          <w:rFonts w:hint="eastAsia" w:ascii="仿宋" w:hAnsi="仿宋" w:eastAsia="仿宋" w:cs="仿宋"/>
          <w:sz w:val="32"/>
          <w:szCs w:val="32"/>
        </w:rPr>
        <w:t>相关要求在物业管理规约内予以明确。</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（六）建设单位应依法依规建设、销售</w:t>
      </w:r>
      <w:r>
        <w:rPr>
          <w:rFonts w:hint="eastAsia" w:ascii="仿宋" w:hAnsi="仿宋" w:eastAsia="仿宋" w:cs="仿宋"/>
          <w:sz w:val="32"/>
          <w:szCs w:val="32"/>
          <w:lang w:eastAsia="zh-CN"/>
        </w:rPr>
        <w:t>，</w:t>
      </w:r>
      <w:r>
        <w:rPr>
          <w:rFonts w:hint="eastAsia" w:ascii="仿宋" w:hAnsi="仿宋" w:eastAsia="仿宋" w:cs="仿宋"/>
          <w:sz w:val="32"/>
          <w:szCs w:val="32"/>
        </w:rPr>
        <w:t>并及时、准确地向购房者及物业管理单位说明关于室外专用庭院用途</w:t>
      </w:r>
      <w:r>
        <w:rPr>
          <w:rFonts w:hint="eastAsia" w:ascii="仿宋" w:hAnsi="仿宋" w:eastAsia="仿宋" w:cs="仿宋"/>
          <w:sz w:val="32"/>
          <w:szCs w:val="32"/>
          <w:lang w:eastAsia="zh-CN"/>
        </w:rPr>
        <w:t>，</w:t>
      </w:r>
      <w:r>
        <w:rPr>
          <w:rFonts w:hint="eastAsia" w:ascii="仿宋" w:hAnsi="仿宋" w:eastAsia="仿宋" w:cs="仿宋"/>
          <w:sz w:val="32"/>
          <w:szCs w:val="32"/>
        </w:rPr>
        <w:t>严禁误导性宣传。</w:t>
      </w:r>
      <w:bookmarkStart w:id="1" w:name="OLE_LINK1"/>
      <w:r>
        <w:rPr>
          <w:rFonts w:hint="eastAsia" w:ascii="仿宋" w:hAnsi="仿宋" w:eastAsia="仿宋" w:cs="仿宋"/>
          <w:sz w:val="32"/>
          <w:szCs w:val="32"/>
        </w:rPr>
        <w:t>房屋销售合同</w:t>
      </w:r>
      <w:bookmarkEnd w:id="1"/>
      <w:r>
        <w:rPr>
          <w:rFonts w:hint="eastAsia" w:ascii="仿宋" w:hAnsi="仿宋" w:eastAsia="仿宋" w:cs="仿宋"/>
          <w:sz w:val="32"/>
          <w:szCs w:val="32"/>
        </w:rPr>
        <w:t>应当明确室外专用庭院的用途、购房业主和物业服务企业的管理维护义务；购房业主在签订房屋销售合同时须同时签订不私自改变用途和安全使用庭院的承诺书。</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rPr>
      </w:pPr>
      <w:r>
        <w:rPr>
          <w:rFonts w:hint="eastAsia" w:ascii="仿宋" w:hAnsi="仿宋" w:eastAsia="仿宋" w:cs="仿宋"/>
          <w:sz w:val="32"/>
          <w:szCs w:val="32"/>
        </w:rPr>
        <w:t>五、支持商品住宅开展定制化建设</w:t>
      </w:r>
      <w:r>
        <w:rPr>
          <w:rFonts w:hint="eastAsia" w:ascii="仿宋" w:hAnsi="仿宋" w:eastAsia="仿宋" w:cs="仿宋"/>
          <w:sz w:val="32"/>
          <w:szCs w:val="32"/>
          <w:lang w:eastAsia="zh-CN"/>
        </w:rPr>
        <w:t>，</w:t>
      </w:r>
      <w:r>
        <w:rPr>
          <w:rFonts w:hint="eastAsia" w:ascii="仿宋" w:hAnsi="仿宋" w:eastAsia="仿宋" w:cs="仿宋"/>
          <w:sz w:val="32"/>
          <w:szCs w:val="32"/>
        </w:rPr>
        <w:t>在符合相关规划管理要求前提下进行定制户型、定制装修等。</w:t>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textAlignment w:val="auto"/>
        <w:outlineLvl w:val="9"/>
        <w:rPr>
          <w:rFonts w:hint="eastAsia" w:ascii="仿宋" w:hAnsi="仿宋" w:eastAsia="仿宋" w:cs="仿宋"/>
          <w:sz w:val="32"/>
          <w:szCs w:val="32"/>
          <w:lang w:val="en-US" w:eastAsia="zh-CN"/>
        </w:rPr>
      </w:pPr>
      <w:bookmarkStart w:id="2" w:name="_GoBack"/>
      <w:bookmarkEnd w:id="2"/>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420" w:firstLineChars="200"/>
        <w:textAlignment w:val="auto"/>
        <w:outlineLvl w:val="9"/>
        <w:rPr>
          <w:rFonts w:hint="eastAsia" w:ascii="仿宋" w:hAnsi="仿宋" w:eastAsia="仿宋" w:cs="仿宋"/>
          <w:sz w:val="32"/>
          <w:szCs w:val="32"/>
          <w:lang w:val="en-US" w:eastAsia="zh-CN"/>
        </w:rPr>
      </w:pPr>
      <w:r>
        <w:rPr>
          <w:sz w:val="32"/>
          <w:szCs w:val="32"/>
        </w:rPr>
        <w:drawing>
          <wp:inline distT="0" distB="0" distL="114300" distR="114300">
            <wp:extent cx="5271135" cy="7460615"/>
            <wp:effectExtent l="0" t="0" r="190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135" cy="7460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420" w:firstLineChars="200"/>
        <w:textAlignment w:val="auto"/>
        <w:outlineLvl w:val="9"/>
        <w:rPr>
          <w:rFonts w:hint="eastAsia" w:ascii="仿宋" w:hAnsi="仿宋" w:eastAsia="仿宋" w:cs="仿宋"/>
          <w:sz w:val="32"/>
          <w:szCs w:val="32"/>
          <w:lang w:val="en-US" w:eastAsia="zh-CN"/>
        </w:rPr>
      </w:pPr>
      <w:r>
        <w:rPr>
          <w:sz w:val="32"/>
          <w:szCs w:val="32"/>
        </w:rPr>
        <w:drawing>
          <wp:inline distT="0" distB="0" distL="114300" distR="114300">
            <wp:extent cx="5607050" cy="7936230"/>
            <wp:effectExtent l="0" t="0" r="127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607050" cy="7936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default"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default"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640" w:firstLineChars="200"/>
        <w:textAlignment w:val="auto"/>
        <w:outlineLvl w:val="9"/>
        <w:rPr>
          <w:rFonts w:hint="default"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420" w:firstLineChars="200"/>
        <w:textAlignment w:val="auto"/>
        <w:outlineLvl w:val="9"/>
        <w:rPr>
          <w:sz w:val="32"/>
          <w:szCs w:val="32"/>
        </w:rPr>
      </w:pPr>
      <w:r>
        <w:rPr>
          <w:sz w:val="32"/>
          <w:szCs w:val="32"/>
        </w:rPr>
        <w:drawing>
          <wp:inline distT="0" distB="0" distL="114300" distR="114300">
            <wp:extent cx="5937885" cy="8404225"/>
            <wp:effectExtent l="0" t="0" r="571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937885" cy="8404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420" w:firstLineChars="200"/>
        <w:textAlignment w:val="auto"/>
        <w:outlineLvl w:val="9"/>
        <w:rPr>
          <w:sz w:val="32"/>
          <w:szCs w:val="32"/>
        </w:rPr>
      </w:pPr>
    </w:p>
    <w:p>
      <w:pPr>
        <w:keepNext w:val="0"/>
        <w:keepLines w:val="0"/>
        <w:pageBreakBefore w:val="0"/>
        <w:widowControl w:val="0"/>
        <w:kinsoku/>
        <w:wordWrap/>
        <w:overflowPunct/>
        <w:topLinePunct w:val="0"/>
        <w:autoSpaceDE/>
        <w:autoSpaceDN/>
        <w:bidi w:val="0"/>
        <w:adjustRightInd/>
        <w:snapToGrid/>
        <w:spacing w:line="560" w:lineRule="atLeast"/>
        <w:ind w:left="0" w:leftChars="0" w:right="0" w:rightChars="0" w:firstLine="420" w:firstLineChars="200"/>
        <w:textAlignment w:val="auto"/>
        <w:outlineLvl w:val="9"/>
        <w:rPr>
          <w:rFonts w:hint="default"/>
          <w:sz w:val="32"/>
          <w:szCs w:val="32"/>
          <w:lang w:val="en-US" w:eastAsia="zh-CN"/>
        </w:rPr>
      </w:pPr>
      <w:r>
        <w:rPr>
          <w:sz w:val="32"/>
          <w:szCs w:val="32"/>
        </w:rPr>
        <w:drawing>
          <wp:inline distT="0" distB="0" distL="114300" distR="114300">
            <wp:extent cx="5271135" cy="7460615"/>
            <wp:effectExtent l="0" t="0" r="1905"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71135" cy="7460615"/>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apple-system">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方正小标宋_GBK">
    <w:altName w:val="微软雅黑"/>
    <w:panose1 w:val="03000509000000000000"/>
    <w:charset w:val="86"/>
    <w:family w:val="script"/>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3557B2"/>
    <w:multiLevelType w:val="singleLevel"/>
    <w:tmpl w:val="683557B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622E11"/>
    <w:rsid w:val="04090B1D"/>
    <w:rsid w:val="05A76A4C"/>
    <w:rsid w:val="08942246"/>
    <w:rsid w:val="12CF34DA"/>
    <w:rsid w:val="15322CC4"/>
    <w:rsid w:val="159B7C4F"/>
    <w:rsid w:val="212B4269"/>
    <w:rsid w:val="24EA789C"/>
    <w:rsid w:val="2C622E11"/>
    <w:rsid w:val="2D9152EF"/>
    <w:rsid w:val="2F2C689E"/>
    <w:rsid w:val="2F8230EF"/>
    <w:rsid w:val="30DF2C8E"/>
    <w:rsid w:val="38F96D0E"/>
    <w:rsid w:val="3FF57DD8"/>
    <w:rsid w:val="44FA7C3F"/>
    <w:rsid w:val="46405B25"/>
    <w:rsid w:val="48D80F37"/>
    <w:rsid w:val="49C32CF5"/>
    <w:rsid w:val="561A3C9D"/>
    <w:rsid w:val="58326DBF"/>
    <w:rsid w:val="5C2673AC"/>
    <w:rsid w:val="641A106C"/>
    <w:rsid w:val="65B92761"/>
    <w:rsid w:val="67BD4130"/>
    <w:rsid w:val="6A897AC6"/>
    <w:rsid w:val="6D66061C"/>
    <w:rsid w:val="705C2F35"/>
    <w:rsid w:val="76CE0460"/>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3115</Words>
  <Characters>3200</Characters>
  <Lines>0</Lines>
  <Paragraphs>0</Paragraphs>
  <ScaleCrop>false</ScaleCrop>
  <LinksUpToDate>false</LinksUpToDate>
  <CharactersWithSpaces>3267</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2026-03-05T02:07:00Z</dcterms:created>
  <dc:creator>快乐人生</dc:creator>
  <cp:lastModifiedBy>Laptop</cp:lastModifiedBy>
  <dcterms:modified xsi:type="dcterms:W3CDTF">2026-03-23T01:14:49Z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y fmtid="{D5CDD505-2E9C-101B-9397-08002B2CF9AE}" pid="3" name="ICV">
    <vt:lpwstr>5D7738FD30D94D76A986316AD3F76923_11</vt:lpwstr>
  </property>
  <property fmtid="{D5CDD505-2E9C-101B-9397-08002B2CF9AE}" pid="4" name="KSOTemplateDocerSaveRecord">
    <vt:lpwstr>eyJoZGlkIjoiYzg5MTE0MDRjNGZkOGZjMDcyNDA5NDkyNTU5YWM2M2QiLCJ1c2VySWQiOiIyMTI0NTA3NjUifQ==</vt:lpwstr>
  </property>
</Properties>
</file>