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砀政办</w:t>
      </w:r>
      <w:r>
        <w:rPr>
          <w:rFonts w:hint="eastAsia" w:ascii="方正仿宋_GBK" w:hAnsi="方正仿宋_GBK" w:eastAsia="方正仿宋_GBK" w:cs="方正仿宋_GBK"/>
          <w:sz w:val="32"/>
          <w:szCs w:val="32"/>
          <w:lang w:eastAsia="zh-CN"/>
        </w:rPr>
        <w:t>秘</w:t>
      </w:r>
      <w:r>
        <w:rPr>
          <w:rFonts w:hint="eastAsia" w:ascii="方正仿宋_GBK" w:hAnsi="方正仿宋_GBK" w:eastAsia="方正仿宋_GBK" w:cs="方正仿宋_GBK"/>
          <w:sz w:val="32"/>
          <w:szCs w:val="32"/>
        </w:rPr>
        <w:t>〔2020〕</w:t>
      </w:r>
      <w:r>
        <w:rPr>
          <w:rFonts w:hint="eastAsia" w:ascii="方正仿宋_GBK" w:hAnsi="方正仿宋_GBK" w:eastAsia="方正仿宋_GBK" w:cs="方正仿宋_GBK"/>
          <w:sz w:val="32"/>
          <w:szCs w:val="32"/>
          <w:lang w:val="en-US" w:eastAsia="zh-CN"/>
        </w:rPr>
        <w:t>49</w:t>
      </w:r>
      <w:r>
        <w:rPr>
          <w:rFonts w:hint="eastAsia" w:ascii="方正仿宋_GBK" w:hAnsi="方正仿宋_GBK" w:eastAsia="方正仿宋_GBK" w:cs="方正仿宋_GBK"/>
          <w:sz w:val="32"/>
          <w:szCs w:val="32"/>
        </w:rPr>
        <w:t>号</w:t>
      </w:r>
    </w:p>
    <w:p>
      <w:pPr>
        <w:keepNext w:val="0"/>
        <w:keepLines w:val="0"/>
        <w:pageBreakBefore w:val="0"/>
        <w:widowControl w:val="0"/>
        <w:kinsoku/>
        <w:wordWrap/>
        <w:overflowPunct w:val="0"/>
        <w:topLinePunct/>
        <w:autoSpaceDE/>
        <w:autoSpaceDN/>
        <w:bidi w:val="0"/>
        <w:adjustRightInd w:val="0"/>
        <w:snapToGrid/>
        <w:spacing w:line="600" w:lineRule="exact"/>
        <w:jc w:val="center"/>
        <w:textAlignment w:val="auto"/>
        <w:rPr>
          <w:rFonts w:hint="eastAsia" w:ascii="Times New Roman" w:hAnsi="Times New Roman" w:eastAsia="方正小标宋_GBK"/>
          <w:sz w:val="44"/>
          <w:szCs w:val="44"/>
        </w:rPr>
      </w:pPr>
    </w:p>
    <w:p>
      <w:pPr>
        <w:keepNext w:val="0"/>
        <w:keepLines w:val="0"/>
        <w:pageBreakBefore w:val="0"/>
        <w:widowControl w:val="0"/>
        <w:kinsoku/>
        <w:wordWrap/>
        <w:overflowPunct w:val="0"/>
        <w:topLinePunct/>
        <w:autoSpaceDE/>
        <w:autoSpaceDN/>
        <w:bidi w:val="0"/>
        <w:adjustRightInd w:val="0"/>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autoSpaceDE/>
        <w:autoSpaceDN/>
        <w:bidi w:val="0"/>
        <w:snapToGrid w:val="0"/>
        <w:spacing w:line="600"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lang w:eastAsia="zh-CN"/>
        </w:rPr>
        <w:t>砀山县</w:t>
      </w:r>
      <w:r>
        <w:rPr>
          <w:rFonts w:hint="eastAsia" w:ascii="方正小标宋_GBK" w:hAnsi="方正小标宋_GBK" w:eastAsia="方正小标宋_GBK" w:cs="方正小标宋_GBK"/>
          <w:kern w:val="0"/>
          <w:sz w:val="44"/>
          <w:szCs w:val="44"/>
        </w:rPr>
        <w:t>人民政府办公室关于印发</w:t>
      </w:r>
    </w:p>
    <w:p>
      <w:pPr>
        <w:keepNext w:val="0"/>
        <w:keepLines w:val="0"/>
        <w:pageBreakBefore w:val="0"/>
        <w:widowControl w:val="0"/>
        <w:kinsoku/>
        <w:wordWrap/>
        <w:autoSpaceDE/>
        <w:autoSpaceDN/>
        <w:bidi w:val="0"/>
        <w:snapToGrid w:val="0"/>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val="0"/>
          <w:bCs w:val="0"/>
          <w:sz w:val="44"/>
          <w:szCs w:val="44"/>
        </w:rPr>
        <w:t>砀山县大面积停电事件应急预案</w:t>
      </w:r>
      <w:r>
        <w:rPr>
          <w:rFonts w:hint="eastAsia" w:ascii="方正小标宋_GBK" w:hAnsi="方正小标宋_GBK" w:eastAsia="方正小标宋_GBK" w:cs="方正小标宋_GBK"/>
          <w:kern w:val="0"/>
          <w:sz w:val="44"/>
          <w:szCs w:val="44"/>
        </w:rPr>
        <w:t>的通知</w:t>
      </w:r>
    </w:p>
    <w:p>
      <w:pPr>
        <w:keepNext w:val="0"/>
        <w:keepLines w:val="0"/>
        <w:pageBreakBefore w:val="0"/>
        <w:widowControl w:val="0"/>
        <w:kinsoku/>
        <w:wordWrap/>
        <w:overflowPunct w:val="0"/>
        <w:topLinePunct/>
        <w:autoSpaceDE/>
        <w:autoSpaceDN/>
        <w:bidi w:val="0"/>
        <w:adjustRightInd w:val="0"/>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autoSpaceDE/>
        <w:autoSpaceDN/>
        <w:bidi w:val="0"/>
        <w:adjustRightInd w:val="0"/>
        <w:snapToGrid/>
        <w:spacing w:line="600" w:lineRule="exac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各</w:t>
      </w:r>
      <w:r>
        <w:rPr>
          <w:rFonts w:hint="eastAsia" w:ascii="方正仿宋_GBK" w:hAnsi="方正仿宋_GBK" w:eastAsia="方正仿宋_GBK" w:cs="方正仿宋_GBK"/>
          <w:kern w:val="0"/>
          <w:sz w:val="32"/>
          <w:szCs w:val="32"/>
          <w:lang w:eastAsia="zh-CN"/>
        </w:rPr>
        <w:t>镇</w:t>
      </w:r>
      <w:r>
        <w:rPr>
          <w:rFonts w:hint="eastAsia" w:ascii="方正仿宋_GBK" w:hAnsi="方正仿宋_GBK" w:eastAsia="方正仿宋_GBK" w:cs="方正仿宋_GBK"/>
          <w:kern w:val="0"/>
          <w:sz w:val="32"/>
          <w:szCs w:val="32"/>
        </w:rPr>
        <w:t>人民政府</w:t>
      </w:r>
      <w:r>
        <w:rPr>
          <w:rFonts w:hint="eastAsia" w:ascii="方正仿宋_GBK" w:hAnsi="方正仿宋_GBK" w:eastAsia="方正仿宋_GBK" w:cs="方正仿宋_GBK"/>
          <w:kern w:val="0"/>
          <w:sz w:val="32"/>
          <w:szCs w:val="32"/>
          <w:lang w:eastAsia="zh-CN"/>
        </w:rPr>
        <w:t>、园区管委会</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sz w:val="32"/>
          <w:szCs w:val="32"/>
        </w:rPr>
        <w:t>县政府各部门、各直属单位</w:t>
      </w:r>
      <w:r>
        <w:rPr>
          <w:rFonts w:hint="eastAsia" w:ascii="方正仿宋_GBK" w:hAnsi="方正仿宋_GBK" w:eastAsia="方正仿宋_GBK" w:cs="方正仿宋_GBK"/>
          <w:kern w:val="0"/>
          <w:sz w:val="32"/>
          <w:szCs w:val="32"/>
        </w:rPr>
        <w:t>：</w:t>
      </w:r>
    </w:p>
    <w:p>
      <w:pPr>
        <w:keepNext w:val="0"/>
        <w:keepLines w:val="0"/>
        <w:pageBreakBefore w:val="0"/>
        <w:widowControl w:val="0"/>
        <w:kinsoku/>
        <w:wordWrap/>
        <w:overflowPunct w:val="0"/>
        <w:topLinePunct/>
        <w:autoSpaceDE/>
        <w:autoSpaceDN/>
        <w:bidi w:val="0"/>
        <w:adjustRightInd w:val="0"/>
        <w:snapToGrid/>
        <w:spacing w:line="600" w:lineRule="exact"/>
        <w:ind w:firstLine="656"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《砀山县大面积停电事件应急预案》已经</w:t>
      </w:r>
      <w:r>
        <w:rPr>
          <w:rFonts w:hint="eastAsia" w:ascii="方正仿宋_GBK" w:hAnsi="方正仿宋_GBK" w:eastAsia="方正仿宋_GBK" w:cs="方正仿宋_GBK"/>
          <w:kern w:val="0"/>
          <w:sz w:val="32"/>
          <w:szCs w:val="32"/>
          <w:lang w:eastAsia="zh-CN"/>
        </w:rPr>
        <w:t>县</w:t>
      </w:r>
      <w:r>
        <w:rPr>
          <w:rFonts w:hint="eastAsia" w:ascii="方正仿宋_GBK" w:hAnsi="方正仿宋_GBK" w:eastAsia="方正仿宋_GBK" w:cs="方正仿宋_GBK"/>
          <w:kern w:val="0"/>
          <w:sz w:val="32"/>
          <w:szCs w:val="32"/>
        </w:rPr>
        <w:t>政府</w:t>
      </w:r>
      <w:r>
        <w:rPr>
          <w:rFonts w:hint="eastAsia" w:ascii="方正仿宋_GBK" w:hAnsi="方正仿宋_GBK" w:eastAsia="方正仿宋_GBK" w:cs="方正仿宋_GBK"/>
          <w:kern w:val="0"/>
          <w:sz w:val="32"/>
          <w:szCs w:val="32"/>
          <w:lang w:eastAsia="zh-CN"/>
        </w:rPr>
        <w:t>第三十次常务会议审议通过</w:t>
      </w:r>
      <w:r>
        <w:rPr>
          <w:rFonts w:hint="eastAsia" w:ascii="方正仿宋_GBK" w:hAnsi="方正仿宋_GBK" w:eastAsia="方正仿宋_GBK" w:cs="方正仿宋_GBK"/>
          <w:kern w:val="0"/>
          <w:sz w:val="32"/>
          <w:szCs w:val="32"/>
        </w:rPr>
        <w:t>，现印发给你们，请认真</w:t>
      </w:r>
      <w:r>
        <w:rPr>
          <w:rFonts w:hint="eastAsia" w:ascii="方正仿宋_GBK" w:hAnsi="方正仿宋_GBK" w:eastAsia="方正仿宋_GBK" w:cs="方正仿宋_GBK"/>
          <w:kern w:val="0"/>
          <w:sz w:val="32"/>
          <w:szCs w:val="32"/>
          <w:lang w:eastAsia="zh-CN"/>
        </w:rPr>
        <w:t>遵照执行</w:t>
      </w:r>
      <w:r>
        <w:rPr>
          <w:rFonts w:hint="eastAsia" w:ascii="方正仿宋_GBK" w:hAnsi="方正仿宋_GBK" w:eastAsia="方正仿宋_GBK" w:cs="方正仿宋_GBK"/>
          <w:kern w:val="0"/>
          <w:sz w:val="32"/>
          <w:szCs w:val="32"/>
        </w:rPr>
        <w:t>。</w:t>
      </w:r>
    </w:p>
    <w:p>
      <w:pPr>
        <w:keepNext w:val="0"/>
        <w:keepLines w:val="0"/>
        <w:pageBreakBefore w:val="0"/>
        <w:widowControl w:val="0"/>
        <w:kinsoku/>
        <w:wordWrap/>
        <w:overflowPunct w:val="0"/>
        <w:topLinePunct/>
        <w:autoSpaceDE/>
        <w:autoSpaceDN/>
        <w:bidi w:val="0"/>
        <w:adjustRightInd w:val="0"/>
        <w:snapToGrid/>
        <w:spacing w:line="600" w:lineRule="exact"/>
        <w:jc w:val="center"/>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kinsoku/>
        <w:wordWrap/>
        <w:autoSpaceDE/>
        <w:autoSpaceDN/>
        <w:bidi w:val="0"/>
        <w:spacing w:line="600" w:lineRule="exact"/>
        <w:rPr>
          <w:rFonts w:hint="eastAsia" w:ascii="方正仿宋_GBK" w:hAnsi="方正仿宋_GBK" w:eastAsia="方正仿宋_GBK" w:cs="方正仿宋_GBK"/>
        </w:rPr>
      </w:pPr>
    </w:p>
    <w:p>
      <w:pPr>
        <w:keepNext w:val="0"/>
        <w:keepLines w:val="0"/>
        <w:pageBreakBefore w:val="0"/>
        <w:widowControl w:val="0"/>
        <w:kinsoku/>
        <w:wordWrap/>
        <w:overflowPunct w:val="0"/>
        <w:topLinePunct/>
        <w:autoSpaceDE/>
        <w:autoSpaceDN/>
        <w:bidi w:val="0"/>
        <w:adjustRightInd w:val="0"/>
        <w:snapToGrid/>
        <w:spacing w:line="600"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val="0"/>
        <w:topLinePunct/>
        <w:autoSpaceDE/>
        <w:autoSpaceDN/>
        <w:bidi w:val="0"/>
        <w:adjustRightInd w:val="0"/>
        <w:snapToGrid/>
        <w:spacing w:line="600"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val="0"/>
        <w:topLinePunct/>
        <w:autoSpaceDE/>
        <w:autoSpaceDN/>
        <w:bidi w:val="0"/>
        <w:adjustRightInd w:val="0"/>
        <w:snapToGrid/>
        <w:spacing w:line="600" w:lineRule="exact"/>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2020年11月25日</w:t>
      </w:r>
    </w:p>
    <w:p>
      <w:pPr>
        <w:keepNext w:val="0"/>
        <w:keepLines w:val="0"/>
        <w:pageBreakBefore w:val="0"/>
        <w:widowControl w:val="0"/>
        <w:kinsoku/>
        <w:wordWrap/>
        <w:overflowPunct w:val="0"/>
        <w:topLinePunct/>
        <w:autoSpaceDE/>
        <w:autoSpaceDN/>
        <w:bidi w:val="0"/>
        <w:adjustRightInd w:val="0"/>
        <w:snapToGrid/>
        <w:spacing w:line="580" w:lineRule="exact"/>
        <w:jc w:val="center"/>
        <w:textAlignment w:val="auto"/>
        <w:rPr>
          <w:rFonts w:hint="eastAsia" w:ascii="方正仿宋_GBK" w:hAnsi="方正仿宋_GBK" w:eastAsia="方正仿宋_GBK" w:cs="方正仿宋_GBK"/>
          <w:sz w:val="32"/>
          <w:szCs w:val="32"/>
        </w:rPr>
      </w:pPr>
    </w:p>
    <w:p>
      <w:pPr>
        <w:pStyle w:val="2"/>
        <w:rPr>
          <w:rFonts w:hint="eastAsia"/>
        </w:rPr>
      </w:pPr>
    </w:p>
    <w:p>
      <w:pPr>
        <w:snapToGrid w:val="0"/>
        <w:spacing w:line="560" w:lineRule="exact"/>
        <w:jc w:val="center"/>
        <w:rPr>
          <w:rFonts w:hint="eastAsia" w:ascii="方正小标宋_GBK" w:hAnsi="方正小标宋_GBK" w:eastAsia="方正小标宋_GBK" w:cs="方正小标宋_GBK"/>
          <w:b w:val="0"/>
          <w:bCs w:val="0"/>
          <w:sz w:val="44"/>
          <w:szCs w:val="44"/>
        </w:rPr>
      </w:pPr>
    </w:p>
    <w:p>
      <w:pPr>
        <w:snapToGrid w:val="0"/>
        <w:spacing w:line="560" w:lineRule="exact"/>
        <w:jc w:val="center"/>
        <w:rPr>
          <w:rFonts w:hint="eastAsia" w:ascii="方正小标宋_GBK" w:hAnsi="方正小标宋_GBK" w:eastAsia="方正小标宋_GBK" w:cs="方正小标宋_GBK"/>
          <w:b w:val="0"/>
          <w:bCs w:val="0"/>
          <w:sz w:val="44"/>
          <w:szCs w:val="44"/>
        </w:rPr>
      </w:pPr>
    </w:p>
    <w:p>
      <w:pPr>
        <w:snapToGrid w:val="0"/>
        <w:spacing w:line="560" w:lineRule="exact"/>
        <w:jc w:val="center"/>
        <w:rPr>
          <w:rFonts w:hint="eastAsia" w:ascii="方正小标宋_GBK" w:hAnsi="方正小标宋_GBK" w:eastAsia="方正小标宋_GBK" w:cs="方正小标宋_GBK"/>
          <w:b w:val="0"/>
          <w:bCs w:val="0"/>
          <w:sz w:val="44"/>
          <w:szCs w:val="44"/>
        </w:rPr>
      </w:pPr>
    </w:p>
    <w:p>
      <w:pPr>
        <w:snapToGrid w:val="0"/>
        <w:spacing w:line="560" w:lineRule="exact"/>
        <w:jc w:val="center"/>
        <w:rPr>
          <w:rFonts w:hint="eastAsia" w:ascii="方正小标宋_GBK" w:hAnsi="方正小标宋_GBK" w:eastAsia="方正小标宋_GBK" w:cs="方正小标宋_GBK"/>
          <w:b w:val="0"/>
          <w:bCs w:val="0"/>
          <w:sz w:val="44"/>
          <w:szCs w:val="44"/>
        </w:rPr>
      </w:pPr>
    </w:p>
    <w:p>
      <w:pPr>
        <w:snapToGrid w:val="0"/>
        <w:spacing w:line="560" w:lineRule="exact"/>
        <w:jc w:val="center"/>
        <w:rPr>
          <w:rFonts w:hint="eastAsia" w:ascii="方正小标宋_GBK" w:hAnsi="方正小标宋_GBK" w:eastAsia="方正小标宋_GBK" w:cs="方正小标宋_GBK"/>
          <w:b w:val="0"/>
          <w:bCs w:val="0"/>
          <w:sz w:val="44"/>
          <w:szCs w:val="44"/>
        </w:rPr>
      </w:pPr>
    </w:p>
    <w:p>
      <w:pPr>
        <w:snapToGrid w:val="0"/>
        <w:spacing w:line="56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砀山县大面积停电事件应急预案</w:t>
      </w:r>
    </w:p>
    <w:p>
      <w:pPr>
        <w:spacing w:line="560" w:lineRule="exact"/>
        <w:ind w:firstLine="656" w:firstLineChars="200"/>
        <w:jc w:val="center"/>
        <w:textAlignment w:val="baseline"/>
        <w:rPr>
          <w:rFonts w:hint="eastAsia" w:eastAsia="方正小标宋简体"/>
          <w:sz w:val="32"/>
          <w:szCs w:val="32"/>
        </w:rPr>
      </w:pPr>
    </w:p>
    <w:p>
      <w:pPr>
        <w:spacing w:line="560" w:lineRule="exact"/>
        <w:jc w:val="center"/>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目    录</w:t>
      </w:r>
    </w:p>
    <w:p>
      <w:pPr>
        <w:spacing w:line="560" w:lineRule="exact"/>
        <w:ind w:firstLine="656" w:firstLineChars="200"/>
        <w:textAlignment w:val="baseline"/>
        <w:rPr>
          <w:rFonts w:hint="eastAsia" w:ascii="方正黑体_GBK" w:hAnsi="方正黑体_GBK" w:eastAsia="方正黑体_GBK" w:cs="方正黑体_GBK"/>
          <w:bCs/>
          <w:sz w:val="32"/>
          <w:szCs w:val="32"/>
        </w:rPr>
      </w:pPr>
    </w:p>
    <w:p>
      <w:pPr>
        <w:spacing w:line="560" w:lineRule="exact"/>
        <w:ind w:firstLine="656" w:firstLineChars="200"/>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bCs/>
          <w:sz w:val="32"/>
          <w:szCs w:val="32"/>
        </w:rPr>
        <w:t>1　总则</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1.1　编制目的</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1.2　编制依据</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1.3　适用范围</w:t>
      </w:r>
    </w:p>
    <w:p>
      <w:pPr>
        <w:spacing w:line="560" w:lineRule="exact"/>
        <w:ind w:firstLine="656" w:firstLineChars="200"/>
        <w:textAlignment w:val="baseline"/>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sz w:val="32"/>
          <w:szCs w:val="32"/>
        </w:rPr>
        <w:t>1.4　工作原则</w:t>
      </w:r>
    </w:p>
    <w:p>
      <w:pPr>
        <w:spacing w:line="560" w:lineRule="exact"/>
        <w:ind w:firstLine="656" w:firstLineChars="200"/>
        <w:textAlignment w:val="baseline"/>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2　组织体系及职责</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2.1　县级组织指挥机构</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2.1.1  砀山县大面积停电事件应急指挥部</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2.1.2  砀山县大面积停电事件应急指挥部办公室</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2.2　现场指挥机构</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2.3　电力企业</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2.4　重要电力用户</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2.5　专家组</w:t>
      </w:r>
    </w:p>
    <w:p>
      <w:pPr>
        <w:spacing w:line="560" w:lineRule="exact"/>
        <w:ind w:firstLine="656" w:firstLineChars="200"/>
        <w:textAlignment w:val="baseline"/>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sz w:val="32"/>
          <w:szCs w:val="32"/>
        </w:rPr>
        <w:t>2.6　联络员</w:t>
      </w:r>
    </w:p>
    <w:p>
      <w:pPr>
        <w:spacing w:line="560" w:lineRule="exact"/>
        <w:ind w:firstLine="656" w:firstLineChars="200"/>
        <w:textAlignment w:val="baseline"/>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3　预防、监测与预警</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3.1　预防、监测</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3.2　预警</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3.2.1  预警分级</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3.2.2　预警信息发布</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3.2.3　预警行动</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3.2.4　预警解除</w:t>
      </w:r>
    </w:p>
    <w:p>
      <w:pPr>
        <w:spacing w:line="560" w:lineRule="exact"/>
        <w:ind w:firstLine="656" w:firstLineChars="200"/>
        <w:textAlignment w:val="baseline"/>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sz w:val="32"/>
          <w:szCs w:val="32"/>
        </w:rPr>
        <w:t>3.3　信息报告</w:t>
      </w:r>
    </w:p>
    <w:p>
      <w:pPr>
        <w:spacing w:line="560" w:lineRule="exact"/>
        <w:ind w:firstLine="656" w:firstLineChars="200"/>
        <w:textAlignment w:val="baseline"/>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4　应急响应</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4.1　响应启动</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4.2　响应措施</w:t>
      </w:r>
    </w:p>
    <w:p>
      <w:pPr>
        <w:spacing w:line="560" w:lineRule="exact"/>
        <w:ind w:firstLine="656" w:firstLineChars="200"/>
        <w:textAlignment w:val="baseline"/>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sz w:val="32"/>
          <w:szCs w:val="32"/>
        </w:rPr>
        <w:t>4.</w:t>
      </w:r>
      <w:r>
        <w:rPr>
          <w:rFonts w:hint="eastAsia" w:ascii="方正楷体_GBK" w:hAnsi="方正楷体_GBK" w:eastAsia="方正楷体_GBK" w:cs="方正楷体_GBK"/>
          <w:sz w:val="32"/>
          <w:szCs w:val="32"/>
          <w:lang w:val="en-US" w:eastAsia="zh-CN"/>
        </w:rPr>
        <w:t>3</w:t>
      </w:r>
      <w:r>
        <w:rPr>
          <w:rFonts w:hint="eastAsia" w:ascii="方正楷体_GBK" w:hAnsi="方正楷体_GBK" w:eastAsia="方正楷体_GBK" w:cs="方正楷体_GBK"/>
          <w:sz w:val="32"/>
          <w:szCs w:val="32"/>
        </w:rPr>
        <w:t xml:space="preserve">  响应终止</w:t>
      </w:r>
    </w:p>
    <w:p>
      <w:pPr>
        <w:spacing w:line="560" w:lineRule="exact"/>
        <w:ind w:firstLine="656" w:firstLineChars="200"/>
        <w:textAlignment w:val="baseline"/>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5　后期处置</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5.1　处置评估</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5.2　事件调查</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5.3　善后处置</w:t>
      </w:r>
    </w:p>
    <w:p>
      <w:pPr>
        <w:spacing w:line="560" w:lineRule="exact"/>
        <w:ind w:firstLine="656" w:firstLineChars="200"/>
        <w:textAlignment w:val="baseline"/>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sz w:val="32"/>
          <w:szCs w:val="32"/>
        </w:rPr>
        <w:t>5.4　恢复重建</w:t>
      </w:r>
    </w:p>
    <w:p>
      <w:pPr>
        <w:spacing w:line="560" w:lineRule="exact"/>
        <w:ind w:firstLine="656" w:firstLineChars="200"/>
        <w:textAlignment w:val="baseline"/>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6  保障措施</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6.1　队伍保障</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6.2　装备物资保障</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6.3　通信、交通运输保障</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6.4　技术保障</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6.5　应急电源保障</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6.6　医疗卫生保障</w:t>
      </w:r>
    </w:p>
    <w:p>
      <w:pPr>
        <w:spacing w:line="560" w:lineRule="exact"/>
        <w:ind w:firstLine="656" w:firstLineChars="200"/>
        <w:textAlignment w:val="baseline"/>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sz w:val="32"/>
          <w:szCs w:val="32"/>
        </w:rPr>
        <w:t>6.7  资金保障</w:t>
      </w:r>
    </w:p>
    <w:p>
      <w:pPr>
        <w:spacing w:line="560" w:lineRule="exact"/>
        <w:ind w:firstLine="656" w:firstLineChars="200"/>
        <w:textAlignment w:val="baseline"/>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7　附则</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7.1　预案管理</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7.1.1  预案体系</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7.1.2  预案宣传</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7.1.3  预案培训</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7.1.4  预案演练</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7.2　名词术语</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7.3　预案解释</w:t>
      </w:r>
    </w:p>
    <w:p>
      <w:p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7.4　预案实施时间</w:t>
      </w:r>
    </w:p>
    <w:p>
      <w:pPr>
        <w:spacing w:line="560" w:lineRule="exact"/>
        <w:ind w:firstLine="656" w:firstLineChars="200"/>
        <w:textAlignment w:val="baseline"/>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8  附件</w:t>
      </w:r>
    </w:p>
    <w:p>
      <w:pPr>
        <w:numPr>
          <w:ilvl w:val="0"/>
          <w:numId w:val="0"/>
        </w:num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1.</w:t>
      </w:r>
      <w:r>
        <w:rPr>
          <w:rFonts w:hint="eastAsia" w:ascii="方正楷体_GBK" w:hAnsi="方正楷体_GBK" w:eastAsia="方正楷体_GBK" w:cs="方正楷体_GBK"/>
          <w:sz w:val="32"/>
          <w:szCs w:val="32"/>
        </w:rPr>
        <w:t>砀山县</w:t>
      </w:r>
      <w:r>
        <w:rPr>
          <w:rFonts w:hint="eastAsia" w:ascii="方正楷体_GBK" w:hAnsi="方正楷体_GBK" w:eastAsia="方正楷体_GBK" w:cs="方正楷体_GBK"/>
          <w:spacing w:val="-2"/>
          <w:sz w:val="32"/>
          <w:szCs w:val="32"/>
        </w:rPr>
        <w:t>大面积停电事件应急指挥部、县电力应急办</w:t>
      </w:r>
      <w:r>
        <w:rPr>
          <w:rFonts w:hint="eastAsia" w:ascii="方正楷体_GBK" w:hAnsi="方正楷体_GBK" w:eastAsia="方正楷体_GBK" w:cs="方正楷体_GBK"/>
          <w:sz w:val="32"/>
          <w:szCs w:val="32"/>
        </w:rPr>
        <w:t>及相</w:t>
      </w:r>
      <w:r>
        <w:rPr>
          <w:rFonts w:hint="eastAsia" w:ascii="方正楷体_GBK" w:hAnsi="方正楷体_GBK" w:eastAsia="方正楷体_GBK" w:cs="方正楷体_GBK"/>
          <w:sz w:val="32"/>
          <w:szCs w:val="32"/>
          <w:lang w:val="en-US" w:eastAsia="zh-CN"/>
        </w:rPr>
        <w:t xml:space="preserve">  </w:t>
      </w:r>
    </w:p>
    <w:p>
      <w:pPr>
        <w:numPr>
          <w:ilvl w:val="0"/>
          <w:numId w:val="0"/>
        </w:numPr>
        <w:spacing w:line="560" w:lineRule="exact"/>
        <w:ind w:firstLine="984" w:firstLineChars="3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应工作组的组成和职责</w:t>
      </w:r>
    </w:p>
    <w:p>
      <w:pPr>
        <w:numPr>
          <w:ilvl w:val="0"/>
          <w:numId w:val="0"/>
        </w:numPr>
        <w:spacing w:line="560" w:lineRule="exact"/>
        <w:ind w:firstLine="656" w:firstLineChars="200"/>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2.</w:t>
      </w:r>
      <w:r>
        <w:rPr>
          <w:rFonts w:hint="eastAsia" w:ascii="方正楷体_GBK" w:hAnsi="方正楷体_GBK" w:eastAsia="方正楷体_GBK" w:cs="方正楷体_GBK"/>
          <w:sz w:val="32"/>
          <w:szCs w:val="32"/>
        </w:rPr>
        <w:t>砀山县大面积停电事件危害程度分析</w:t>
      </w:r>
    </w:p>
    <w:p>
      <w:pPr>
        <w:shd w:val="clear" w:color="auto" w:fill="FFFFFF"/>
        <w:spacing w:line="560" w:lineRule="exact"/>
        <w:ind w:firstLine="656" w:firstLineChars="200"/>
        <w:jc w:val="left"/>
        <w:rPr>
          <w:rFonts w:hint="eastAsia" w:ascii="方正小标宋简体" w:hAnsi="方正小标宋简体" w:eastAsia="方正小标宋简体" w:cs="方正小标宋简体"/>
          <w:bCs/>
          <w:sz w:val="32"/>
          <w:szCs w:val="32"/>
        </w:rPr>
      </w:pPr>
      <w:r>
        <w:rPr>
          <w:rFonts w:hint="eastAsia" w:ascii="方正楷体_GBK" w:hAnsi="方正楷体_GBK" w:eastAsia="方正楷体_GBK" w:cs="方正楷体_GBK"/>
          <w:sz w:val="32"/>
          <w:szCs w:val="32"/>
        </w:rPr>
        <w:br w:type="page"/>
      </w:r>
      <w:r>
        <w:rPr>
          <w:rFonts w:hint="eastAsia" w:ascii="方正黑体_GBK" w:hAnsi="方正黑体_GBK" w:eastAsia="方正黑体_GBK" w:cs="方正黑体_GBK"/>
          <w:b w:val="0"/>
          <w:bCs/>
          <w:sz w:val="32"/>
          <w:szCs w:val="32"/>
        </w:rPr>
        <w:t>l  总则</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1.1  编制目的</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砀山县大面积停电事件应对工作机制，提高防范和应对突发大面积停电事件的能力和效率，科学、高效、稳妥、有序地处置大面积停电事件，最大程度减少大面积停电事件造成的人员伤亡和财产损失，维护国家安全、社会稳定和人民群众生命财产安全。</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1.2  编制依据</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依据《国家大面积停电事件应急预案》《安徽省人民政府突发公共事件总体应急预案》《安徽省大面积停电事件应急预案》《宿州市人民政府突发公共事件总体应急预案》《</w:t>
      </w:r>
      <w:r>
        <w:rPr>
          <w:rFonts w:hint="eastAsia" w:ascii="仿宋_GB2312" w:hAnsi="仿宋_GB2312" w:eastAsia="仿宋_GB2312" w:cs="仿宋_GB2312"/>
          <w:sz w:val="32"/>
          <w:szCs w:val="32"/>
          <w:lang w:val="en-US" w:eastAsia="zh-CN"/>
        </w:rPr>
        <w:t>宿州市</w:t>
      </w:r>
      <w:r>
        <w:rPr>
          <w:rFonts w:hint="eastAsia" w:ascii="仿宋_GB2312" w:hAnsi="仿宋_GB2312" w:eastAsia="仿宋_GB2312" w:cs="仿宋_GB2312"/>
          <w:sz w:val="32"/>
          <w:szCs w:val="32"/>
        </w:rPr>
        <w:t>大面积停电事件应急预案》等法律法规及有关规定，制定本预案。</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1.3  适用范围</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本预案适用于砀山县行政区域内发生的大面积停电事件应对工作，用于规范和指导各镇（园区）、有关部门和单位协调联动处置电网大面积停电事件。</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大面积停电事件是指由于自然灾害、电力安全事故和外力破坏等原因造成县级电网大量减供负荷，对国家安全、社会稳定及人民群众生产生活造成影响和威胁的停电事件。</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1.4  工作原则</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大面积停电事件应对工作坚持统一领导、综合协调，属地为主、分工负责，保障民生、维护安全，全员参与、科学应对的原则。大面积停电事件发生后，</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政府有关部门、电力企业、重要电力用户应立即按照职责分工和相关预案开展处置工作。</w:t>
      </w:r>
    </w:p>
    <w:p>
      <w:pPr>
        <w:shd w:val="clear" w:color="auto" w:fill="FFFFFF"/>
        <w:spacing w:line="560" w:lineRule="exact"/>
        <w:ind w:firstLine="656" w:firstLineChars="200"/>
        <w:jc w:val="left"/>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2  组织体系与职责</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2.1  县级组织指挥机构</w:t>
      </w:r>
    </w:p>
    <w:p>
      <w:pPr>
        <w:spacing w:line="560" w:lineRule="exact"/>
        <w:ind w:firstLine="656" w:firstLineChars="200"/>
        <w:textAlignment w:val="bottom"/>
        <w:rPr>
          <w:rFonts w:hint="eastAsia" w:ascii="楷体" w:hAnsi="楷体" w:eastAsia="楷体" w:cs="楷体"/>
          <w:bCs/>
          <w:sz w:val="32"/>
          <w:szCs w:val="32"/>
        </w:rPr>
      </w:pPr>
      <w:r>
        <w:rPr>
          <w:rFonts w:hint="eastAsia" w:ascii="楷体" w:hAnsi="楷体" w:eastAsia="楷体" w:cs="楷体"/>
          <w:bCs/>
          <w:sz w:val="32"/>
          <w:szCs w:val="32"/>
        </w:rPr>
        <w:t>2.1.1  砀山县大面积停电事件应急指挥部</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根据大面积停电事件应急处置工作需要，成立</w:t>
      </w:r>
      <w:r>
        <w:rPr>
          <w:rFonts w:hint="eastAsia" w:ascii="仿宋_GB2312" w:hAnsi="仿宋_GB2312" w:eastAsia="仿宋_GB2312" w:cs="仿宋_GB2312"/>
          <w:sz w:val="32"/>
          <w:szCs w:val="32"/>
          <w:lang w:eastAsia="zh-CN"/>
        </w:rPr>
        <w:t>砀山县</w:t>
      </w:r>
      <w:r>
        <w:rPr>
          <w:rFonts w:hint="eastAsia" w:ascii="仿宋_GB2312" w:hAnsi="仿宋_GB2312" w:eastAsia="仿宋_GB2312" w:cs="仿宋_GB2312"/>
          <w:sz w:val="32"/>
          <w:szCs w:val="32"/>
        </w:rPr>
        <w:t>大面积停电应急指挥部（以下简称县电力应急指挥部），建立县级调度指挥系统，建立健全应急联动机制，负责指挥、协调本行政区域内大面积停电事件应对工作，负责建立、启动跨行政区域大面积停电事件应急合作机制。</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县电力应急指挥部各成员单位根据本预案，制定本部门大面积停电事件应急处置预案，开展相关工作。</w:t>
      </w:r>
    </w:p>
    <w:p>
      <w:pPr>
        <w:spacing w:line="560" w:lineRule="exact"/>
        <w:ind w:firstLine="656" w:firstLineChars="200"/>
        <w:textAlignment w:val="bottom"/>
        <w:rPr>
          <w:rFonts w:hint="eastAsia" w:ascii="楷体" w:hAnsi="楷体" w:eastAsia="楷体" w:cs="楷体"/>
          <w:bCs/>
          <w:sz w:val="32"/>
          <w:szCs w:val="32"/>
        </w:rPr>
      </w:pPr>
      <w:r>
        <w:rPr>
          <w:rFonts w:hint="eastAsia" w:ascii="楷体" w:hAnsi="楷体" w:eastAsia="楷体" w:cs="楷体"/>
          <w:bCs/>
          <w:sz w:val="32"/>
          <w:szCs w:val="32"/>
        </w:rPr>
        <w:t>2.1.2  砀山县大面积停电事件应急指挥部办公室</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砀山县大面积停电事件应急指挥部下设砀山县大面积停电事件应急指挥部办公室（以下简称县电力应急办），设在县发展</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改革委员会，负责县电力应急指挥部日常工作。</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2.2</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 xml:space="preserve"> 现场指挥机构</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根据需要或上级要求成立现场指挥部，负责现场组织指挥工作。参与现场处置的有关单位和人员应服从现场指挥部的统一指挥。</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现场指挥机构职责：负责大面积停电事件应急处置现场组织指挥工作，协调各成员单位按响应措施开展电网恢复、保障民生、维护稳定、舆情处置等工作，向上级应急指挥部汇报现场应急处置情况。</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 xml:space="preserve">2.3 </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电力企业</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电力企业（包括电网企业、发电企业等，下同）建立健全应急指挥机构，在政府组织指挥机构领导下开展大面积停电事件应对工作。电网调度工作按照《电网调度管理条例》及相关规程执行。</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2.4  重要电力用户</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维护基本公共秩序、保障人身安全和避免重大经济损失具有重要意义的政府机关、医疗、交通、广播电视、供水、供气、供热、加油（气）站、排水泵站、污水处理等企事业单位，应根据本预案和国家有关规定合理配置供电电源和自备应急电源，完善非电保安等保障措施，并定期检查维护，确保相关设施处于完好可用状态。发生大面积停电事件时，负责本单位事故抢险和应急处置工作，根据情况，协助或请求支援。</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2.5  专家组</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县电力应急指挥机构根据需要成立大面积停电事件应急专家组，成员由电力、气象、地质、水文等领域相关专家组成，对大面积停电事件应对工作提供技术咨询和建议，并根据需要参与相关现场应急处置工作。</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2.6  联络员</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应急指挥部成员单位应确定1名联络员，具体负责信息沟通、业务协调、指令传达等工作，联络员变更要及时告知县电力应急办。</w:t>
      </w:r>
    </w:p>
    <w:p>
      <w:pPr>
        <w:spacing w:line="560" w:lineRule="exact"/>
        <w:ind w:firstLine="656" w:firstLineChars="200"/>
        <w:textAlignment w:val="bottom"/>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3　预防、监测与预警</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3.1　预防、监测</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预防为主、预防与应急处置相结合”的原则，将大面积停电事件预防工作贯穿电网规划、建设、运维等各个环节，统筹考虑和综合运用政府、企业及社会各方面的力量，预防大面积停电事件的发生，控制、减轻、消除大面积停电事件带来的危害及其负面影响。</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力企业要结合实际加强对重要电力设施设备运行、发电燃料供应等情况的监测，建立与气象、农业农村（水利）、林业、公安、应急管理、交通运输、自然资源、发展改革、经济和信息化等部门的信息共享机制，及时分析各类情况对电力运行可能造成的影响，预估可能影响范围和程度。</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农业农村（水利）、林业、应急管理、公安、交通运输、自然资源等部门应将涉及电网安全的相关数据纳入日常监测范围，划分自然灾害易发区，加强预报预测和信息共享协同处置，提高灾害预测和突发事件预警处置能力。</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县政府相关职能部门应加强对道路、桥梁、市政等建设工地的监管，依法加强电力设施保护工作，杜绝因外力破坏导致大面积停电事件的发生。</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3.2　预警</w:t>
      </w:r>
    </w:p>
    <w:p>
      <w:pPr>
        <w:spacing w:line="560" w:lineRule="exact"/>
        <w:ind w:firstLine="656" w:firstLineChars="200"/>
        <w:textAlignment w:val="bottom"/>
        <w:rPr>
          <w:rFonts w:hint="eastAsia" w:ascii="楷体" w:hAnsi="楷体" w:eastAsia="楷体" w:cs="楷体"/>
          <w:bCs/>
          <w:sz w:val="32"/>
          <w:szCs w:val="32"/>
        </w:rPr>
      </w:pPr>
      <w:r>
        <w:rPr>
          <w:rFonts w:hint="eastAsia" w:ascii="楷体" w:hAnsi="楷体" w:eastAsia="楷体" w:cs="楷体"/>
          <w:bCs/>
          <w:sz w:val="32"/>
          <w:szCs w:val="32"/>
        </w:rPr>
        <w:t>3.2.1  预警分级</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电网大面积停电风险预警分为红色、橙色、黄色和蓝色预警四种，各有关部门、电力企业及用户接警后应立即启动相应的应急准备工作，落实各项预警控制措施。</w:t>
      </w:r>
    </w:p>
    <w:p>
      <w:pPr>
        <w:spacing w:line="560" w:lineRule="exact"/>
        <w:ind w:firstLine="656" w:firstLineChars="200"/>
        <w:textAlignment w:val="bottom"/>
        <w:rPr>
          <w:rFonts w:hint="eastAsia" w:ascii="楷体" w:hAnsi="楷体" w:eastAsia="楷体" w:cs="楷体"/>
          <w:bCs/>
          <w:sz w:val="32"/>
          <w:szCs w:val="32"/>
        </w:rPr>
      </w:pPr>
      <w:r>
        <w:rPr>
          <w:rFonts w:hint="eastAsia" w:ascii="楷体" w:hAnsi="楷体" w:eastAsia="楷体" w:cs="楷体"/>
          <w:bCs/>
          <w:sz w:val="32"/>
          <w:szCs w:val="32"/>
        </w:rPr>
        <w:t>3.2.2　预警信息发布</w:t>
      </w:r>
    </w:p>
    <w:p>
      <w:pPr>
        <w:spacing w:line="560" w:lineRule="exact"/>
        <w:ind w:firstLine="656" w:firstLineChars="200"/>
        <w:textAlignment w:val="bottom"/>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（1）电力企业研判可能发生大面积停电事件时，要及时将有关情况报告</w:t>
      </w:r>
      <w:r>
        <w:rPr>
          <w:rFonts w:hint="eastAsia" w:ascii="仿宋_GB2312" w:hAnsi="仿宋_GB2312" w:eastAsia="仿宋_GB2312" w:cs="仿宋_GB2312"/>
          <w:sz w:val="32"/>
          <w:szCs w:val="32"/>
          <w:highlight w:val="none"/>
        </w:rPr>
        <w:t>县</w:t>
      </w:r>
      <w:r>
        <w:rPr>
          <w:rFonts w:hint="eastAsia" w:ascii="仿宋_GB2312" w:hAnsi="仿宋_GB2312" w:eastAsia="仿宋_GB2312" w:cs="仿宋_GB2312"/>
          <w:sz w:val="32"/>
          <w:szCs w:val="32"/>
          <w:highlight w:val="none"/>
          <w:lang w:val="en-US" w:eastAsia="zh-CN"/>
        </w:rPr>
        <w:t>电力应急办</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提出预警信息发布建议，并视情况通知重要电力用户。</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highlight w:val="none"/>
        </w:rPr>
        <w:t>县</w:t>
      </w:r>
      <w:r>
        <w:rPr>
          <w:rFonts w:hint="eastAsia" w:ascii="仿宋_GB2312" w:hAnsi="仿宋_GB2312" w:eastAsia="仿宋_GB2312" w:cs="仿宋_GB2312"/>
          <w:sz w:val="32"/>
          <w:szCs w:val="32"/>
          <w:highlight w:val="none"/>
          <w:lang w:val="en-US" w:eastAsia="zh-CN"/>
        </w:rPr>
        <w:t>电力应急办</w:t>
      </w:r>
      <w:r>
        <w:rPr>
          <w:rFonts w:hint="eastAsia" w:ascii="仿宋_GB2312" w:hAnsi="仿宋_GB2312" w:eastAsia="仿宋_GB2312" w:cs="仿宋_GB2312"/>
          <w:sz w:val="32"/>
          <w:szCs w:val="32"/>
        </w:rPr>
        <w:t>应及时组织研判，必要时报请县政府批准后向社会公众发布预警，并通报相关部门和单位。可能发生重大以上大面积停电事件时，</w:t>
      </w:r>
      <w:r>
        <w:rPr>
          <w:rFonts w:hint="eastAsia" w:ascii="仿宋_GB2312" w:hAnsi="仿宋_GB2312" w:eastAsia="仿宋_GB2312" w:cs="仿宋_GB2312"/>
          <w:sz w:val="32"/>
          <w:szCs w:val="32"/>
          <w:highlight w:val="none"/>
        </w:rPr>
        <w:t>县</w:t>
      </w:r>
      <w:r>
        <w:rPr>
          <w:rFonts w:hint="eastAsia" w:ascii="仿宋_GB2312" w:hAnsi="仿宋_GB2312" w:eastAsia="仿宋_GB2312" w:cs="仿宋_GB2312"/>
          <w:sz w:val="32"/>
          <w:szCs w:val="32"/>
          <w:highlight w:val="none"/>
          <w:lang w:val="en-US" w:eastAsia="zh-CN"/>
        </w:rPr>
        <w:t>电力应急办</w:t>
      </w:r>
      <w:r>
        <w:rPr>
          <w:rFonts w:hint="eastAsia" w:ascii="仿宋_GB2312" w:hAnsi="仿宋_GB2312" w:eastAsia="仿宋_GB2312" w:cs="仿宋_GB2312"/>
          <w:sz w:val="32"/>
          <w:szCs w:val="32"/>
        </w:rPr>
        <w:t>应及时组织有关电力企业和专家进行会商，报请县政府批准后发布预警，必要时通报可能受影响的相邻县政府。</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（3）预警信息主要通过政府网站和突发事件预警信息发布系统（气象部门）予以发布，以及利用广播、电视、手机短信、微博、微信公众号、电子显示屏、宣传车等通信手段和传播媒介进行发布。</w:t>
      </w:r>
    </w:p>
    <w:p>
      <w:pPr>
        <w:spacing w:line="560" w:lineRule="exact"/>
        <w:ind w:firstLine="656" w:firstLineChars="200"/>
        <w:textAlignment w:val="bottom"/>
        <w:rPr>
          <w:rFonts w:hint="eastAsia" w:ascii="楷体" w:hAnsi="楷体" w:eastAsia="楷体" w:cs="楷体"/>
          <w:bCs/>
          <w:sz w:val="32"/>
          <w:szCs w:val="32"/>
        </w:rPr>
      </w:pPr>
      <w:r>
        <w:rPr>
          <w:rFonts w:hint="eastAsia" w:ascii="楷体" w:hAnsi="楷体" w:eastAsia="楷体" w:cs="楷体"/>
          <w:bCs/>
          <w:sz w:val="32"/>
          <w:szCs w:val="32"/>
        </w:rPr>
        <w:t>3.2.3　预警行动</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信息发布后，电力企业要加强设备巡查检修和运行监测，采取有效措施控制事态发展；组织相关应急救援队伍和人员进入待命状态，动员后备人员做好参加应急救援和处置工作准备，并做好大面积停电事件应急所需物资、装备和设备等应急保障准备工作。重要电力用户做好自备应急电源启用准备。</w:t>
      </w:r>
      <w:r>
        <w:rPr>
          <w:rFonts w:hint="eastAsia" w:ascii="仿宋_GB2312" w:hAnsi="仿宋_GB2312" w:eastAsia="仿宋_GB2312" w:cs="仿宋_GB2312"/>
          <w:sz w:val="32"/>
          <w:szCs w:val="32"/>
          <w:lang w:val="en-US" w:eastAsia="zh-CN"/>
        </w:rPr>
        <w:t>及时通知</w:t>
      </w:r>
      <w:r>
        <w:rPr>
          <w:rFonts w:hint="eastAsia" w:ascii="仿宋_GB2312" w:hAnsi="仿宋_GB2312" w:eastAsia="仿宋_GB2312" w:cs="仿宋_GB2312"/>
          <w:sz w:val="32"/>
          <w:szCs w:val="32"/>
        </w:rPr>
        <w:t>受影响区域</w:t>
      </w:r>
      <w:r>
        <w:rPr>
          <w:rFonts w:hint="eastAsia" w:ascii="仿宋_GB2312" w:hAnsi="仿宋_GB2312" w:eastAsia="仿宋_GB2312" w:cs="仿宋_GB2312"/>
          <w:sz w:val="32"/>
          <w:szCs w:val="32"/>
          <w:lang w:eastAsia="zh-CN"/>
        </w:rPr>
        <w:t>属地</w:t>
      </w:r>
      <w:r>
        <w:rPr>
          <w:rFonts w:hint="eastAsia" w:ascii="仿宋_GB2312" w:hAnsi="仿宋_GB2312" w:eastAsia="仿宋_GB2312" w:cs="仿宋_GB2312"/>
          <w:sz w:val="32"/>
          <w:szCs w:val="32"/>
        </w:rPr>
        <w:t>政府立即启动应急联动机制。</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宣传部门应加强相关舆情监测，主动回应社会公众关注的热点问题，及时澄清谣言传言，做好舆论引导工作。</w:t>
      </w:r>
    </w:p>
    <w:p>
      <w:pPr>
        <w:spacing w:line="560" w:lineRule="exact"/>
        <w:ind w:firstLine="656" w:firstLineChars="200"/>
        <w:textAlignment w:val="bottom"/>
        <w:rPr>
          <w:rFonts w:hint="eastAsia" w:ascii="楷体" w:hAnsi="楷体" w:eastAsia="楷体" w:cs="楷体"/>
          <w:bCs/>
          <w:sz w:val="32"/>
          <w:szCs w:val="32"/>
        </w:rPr>
      </w:pPr>
      <w:r>
        <w:rPr>
          <w:rFonts w:hint="eastAsia" w:ascii="楷体" w:hAnsi="楷体" w:eastAsia="楷体" w:cs="楷体"/>
          <w:bCs/>
          <w:sz w:val="32"/>
          <w:szCs w:val="32"/>
        </w:rPr>
        <w:t>3.2.4　预警解除</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根据事态发展，经研判不会发生大面积停电事件时，按照“谁发布、谁解除”的原则，由发布单位负责宣布解除预警，适时终止相关措施。</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3.3　信息报告</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（1）发生大面积停电事件，县供电公司应立即向县</w:t>
      </w:r>
      <w:r>
        <w:rPr>
          <w:rFonts w:hint="eastAsia" w:ascii="仿宋_GB2312" w:hAnsi="仿宋_GB2312" w:eastAsia="仿宋_GB2312" w:cs="仿宋_GB2312"/>
          <w:sz w:val="32"/>
          <w:szCs w:val="32"/>
          <w:lang w:val="en-US" w:eastAsia="zh-CN"/>
        </w:rPr>
        <w:t>电力应急办</w:t>
      </w:r>
      <w:r>
        <w:rPr>
          <w:rFonts w:hint="eastAsia" w:ascii="仿宋_GB2312" w:hAnsi="仿宋_GB2312" w:eastAsia="仿宋_GB2312" w:cs="仿宋_GB2312"/>
          <w:sz w:val="32"/>
          <w:szCs w:val="32"/>
        </w:rPr>
        <w:t>报告，并通知重要电力用户。</w:t>
      </w:r>
    </w:p>
    <w:p>
      <w:pPr>
        <w:spacing w:line="560" w:lineRule="exact"/>
        <w:ind w:firstLine="656" w:firstLineChars="200"/>
        <w:textAlignment w:val="bottom"/>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（2）县</w:t>
      </w:r>
      <w:r>
        <w:rPr>
          <w:rFonts w:hint="eastAsia" w:ascii="仿宋_GB2312" w:hAnsi="仿宋_GB2312" w:eastAsia="仿宋_GB2312" w:cs="仿宋_GB2312"/>
          <w:sz w:val="32"/>
          <w:szCs w:val="32"/>
          <w:lang w:val="en-US" w:eastAsia="zh-CN"/>
        </w:rPr>
        <w:t>电力应急办</w:t>
      </w:r>
      <w:r>
        <w:rPr>
          <w:rFonts w:hint="eastAsia" w:ascii="仿宋_GB2312" w:hAnsi="仿宋_GB2312" w:eastAsia="仿宋_GB2312" w:cs="仿宋_GB2312"/>
          <w:sz w:val="32"/>
          <w:szCs w:val="32"/>
        </w:rPr>
        <w:t>接到大面积停电事件信息报告或者监测到相关信息后，应当立即进行核实，对大面积停电事件的性质和类别作出初步认定，按照国家规定的时限、程序和要求向上级电力管理部门和县政府报告，并通报其他相关部门和单位。</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val="en-US" w:eastAsia="zh-CN"/>
        </w:rPr>
        <w:t>电力应急办</w:t>
      </w:r>
      <w:r>
        <w:rPr>
          <w:rFonts w:hint="eastAsia" w:ascii="仿宋_GB2312" w:hAnsi="仿宋_GB2312" w:eastAsia="仿宋_GB2312" w:cs="仿宋_GB2312"/>
          <w:color w:val="auto"/>
          <w:sz w:val="32"/>
          <w:szCs w:val="32"/>
        </w:rPr>
        <w:t>应当按照有关规定逐级上报，必要时可越级上报。</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（3）对初判为50%以上用户或80%以上减供负荷大面积停电事件，县政府立即按程序向市政府报告。</w:t>
      </w:r>
    </w:p>
    <w:p>
      <w:pPr>
        <w:spacing w:line="560" w:lineRule="exact"/>
        <w:ind w:firstLine="656" w:firstLineChars="200"/>
        <w:textAlignment w:val="bottom"/>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4　应急响应</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4.1　响应启动</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生或初判50%以上用户或80%以上减供负荷大面积停电事件，县电力应急指挥部立即向市电力应急指挥部汇报，由市电力应急指挥部决定启动应急响应。第一时间组织县指挥部成员单位和有关应急专家召开联席会议，分析研判当前形势，会商评估发展趋势，就有关重大问题作出决策部署，发布应急响应命令，组成现场工作组，并由其负责组织开展现场应急处置工作。同时迅速向市政府及市能源</w:t>
      </w:r>
      <w:r>
        <w:rPr>
          <w:rFonts w:hint="eastAsia" w:ascii="仿宋_GB2312" w:hAnsi="仿宋_GB2312" w:eastAsia="仿宋_GB2312" w:cs="仿宋_GB2312"/>
          <w:sz w:val="32"/>
          <w:szCs w:val="32"/>
          <w:lang w:val="en-US" w:eastAsia="zh-CN"/>
        </w:rPr>
        <w:t>办</w:t>
      </w:r>
      <w:r>
        <w:rPr>
          <w:rFonts w:hint="eastAsia" w:ascii="仿宋_GB2312" w:hAnsi="仿宋_GB2312" w:eastAsia="仿宋_GB2312" w:cs="仿宋_GB2312"/>
          <w:sz w:val="32"/>
          <w:szCs w:val="32"/>
        </w:rPr>
        <w:t>等部门汇报情况，视情况发展提出支援请求。必要时，在</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大面积停电事件应急指挥部的统一领导、组织和指挥下开展应对工作。</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发生或初判30%以上用户或50%以上减供负荷的大面积停电事件，县电力应急指挥部立即向市电力应急指挥部汇报，由市电力应急指挥部决定启动应急响应。第一时间组织县指挥部成员单位和有关应急专家召开联席会议，分析研判当前形势，会商评估发展趋势，就有关重大问题作出决策部署，发布应急响应命令，组成现场工作组，并由其负责组织开展现场应急处置工作。同时，迅速向市政府及市能源</w:t>
      </w:r>
      <w:r>
        <w:rPr>
          <w:rFonts w:hint="eastAsia" w:ascii="仿宋_GB2312" w:hAnsi="仿宋_GB2312" w:eastAsia="仿宋_GB2312" w:cs="仿宋_GB2312"/>
          <w:sz w:val="32"/>
          <w:szCs w:val="32"/>
          <w:lang w:val="en-US" w:eastAsia="zh-CN"/>
        </w:rPr>
        <w:t>办</w:t>
      </w:r>
      <w:r>
        <w:rPr>
          <w:rFonts w:hint="eastAsia" w:ascii="仿宋_GB2312" w:hAnsi="仿宋_GB2312" w:eastAsia="仿宋_GB2312" w:cs="仿宋_GB2312"/>
          <w:sz w:val="32"/>
          <w:szCs w:val="32"/>
        </w:rPr>
        <w:t>等部门汇报情况。</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初判发生20%以上用户或30%以上减供负荷大面积停电事件，由县电力应急指挥部启动应急响应，分析研判当前形势，就有关重大问题作出决策部署，发布应急响应命令，组成现场工作组负责组织开展现场应急处置工作。电力应急指挥部派人赶赴现场协助指挥、处置。</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对于尚未达到大面积停电事件标准，但对社会产生较大影响的其他停电事件，</w:t>
      </w:r>
      <w:r>
        <w:rPr>
          <w:rFonts w:hint="eastAsia" w:ascii="仿宋_GB2312" w:hAnsi="仿宋_GB2312" w:eastAsia="仿宋_GB2312" w:cs="仿宋_GB2312"/>
          <w:sz w:val="32"/>
          <w:szCs w:val="32"/>
          <w:lang w:val="en-US" w:eastAsia="zh-CN"/>
        </w:rPr>
        <w:t>县电力应急指挥部</w:t>
      </w:r>
      <w:r>
        <w:rPr>
          <w:rFonts w:hint="eastAsia" w:ascii="仿宋_GB2312" w:hAnsi="仿宋_GB2312" w:eastAsia="仿宋_GB2312" w:cs="仿宋_GB2312"/>
          <w:sz w:val="32"/>
          <w:szCs w:val="32"/>
        </w:rPr>
        <w:t>可结合实际情况启动应急响应。</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4.2  响应措施</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大面积停电事件发生后，相关电力企业和重要电力用户要立即实施先期处置，全力控制事件发展态势，尽量减少损失。各有关部门和单位根据工作需要，组织采取以下措施：</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楷体" w:hAnsi="楷体" w:eastAsia="楷体" w:cs="楷体"/>
          <w:sz w:val="32"/>
          <w:szCs w:val="32"/>
        </w:rPr>
        <w:t>（1）抢修电网并恢复运行。</w:t>
      </w:r>
      <w:r>
        <w:rPr>
          <w:rFonts w:hint="eastAsia" w:ascii="仿宋_GB2312" w:hAnsi="仿宋_GB2312" w:eastAsia="仿宋_GB2312" w:cs="仿宋_GB2312"/>
          <w:sz w:val="32"/>
          <w:szCs w:val="32"/>
        </w:rPr>
        <w:t>电力调度机构合理安排运行方式，控制停电范围；尽快恢复重要输变电设备、电力主干网架运行。在条件具备时，优先恢复重要电力用户和重点</w:t>
      </w:r>
      <w:r>
        <w:rPr>
          <w:rFonts w:hint="eastAsia" w:ascii="仿宋_GB2312" w:hAnsi="仿宋_GB2312" w:eastAsia="仿宋_GB2312" w:cs="仿宋_GB2312"/>
          <w:sz w:val="32"/>
          <w:szCs w:val="32"/>
          <w:lang w:val="en-US" w:eastAsia="zh-CN"/>
        </w:rPr>
        <w:t>区域</w:t>
      </w:r>
      <w:r>
        <w:rPr>
          <w:rFonts w:hint="eastAsia" w:ascii="仿宋_GB2312" w:hAnsi="仿宋_GB2312" w:eastAsia="仿宋_GB2312" w:cs="仿宋_GB2312"/>
          <w:sz w:val="32"/>
          <w:szCs w:val="32"/>
        </w:rPr>
        <w:t>的电力供应。电网企业迅速组织力量抢修受损电网设备设施，根据应急指挥机构要求，向重要电力用户及重要设施提供必要的电力支援。发电企业保障设备安全，抢修受损设备，做好发电机组并网运行准备，严格按照电力调度指令恢复运行。</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楷体" w:hAnsi="楷体" w:eastAsia="楷体" w:cs="楷体"/>
          <w:sz w:val="32"/>
          <w:szCs w:val="32"/>
        </w:rPr>
        <w:t>（2）防范次生衍生事故。</w:t>
      </w:r>
      <w:r>
        <w:rPr>
          <w:rFonts w:hint="eastAsia" w:ascii="仿宋_GB2312" w:hAnsi="仿宋_GB2312" w:eastAsia="仿宋_GB2312" w:cs="仿宋_GB2312"/>
          <w:sz w:val="32"/>
          <w:szCs w:val="32"/>
        </w:rPr>
        <w:t>重要电力用户应及时启动相应等级停电事件应急处置方案，按照有关技术要求迅速启动自备应急电源，加强重大危险源、重要目标、重大关键基础设施隐患排查与监测预警，及时采取防范措施，防止发生次生、衍生事故。</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楷体" w:hAnsi="楷体" w:eastAsia="楷体" w:cs="楷体"/>
          <w:sz w:val="32"/>
          <w:szCs w:val="32"/>
        </w:rPr>
        <w:t>（3）保障居民基本生活。</w:t>
      </w:r>
      <w:r>
        <w:rPr>
          <w:rFonts w:hint="eastAsia" w:ascii="仿宋_GB2312" w:hAnsi="仿宋_GB2312" w:eastAsia="仿宋_GB2312" w:cs="仿宋_GB2312"/>
          <w:sz w:val="32"/>
          <w:szCs w:val="32"/>
        </w:rPr>
        <w:t>供水企业应及时启用应急供水措施，保障居民用水需求。供热供气等部门应采用多种方式，保障燃气供应和采暖期内居民生活热力供应。发展改革、经济和信息化、交通运输、商务等部门要组织生活必需品的应急生产、调配和运输，保障停电期间居民基本生活。卫生部门要保证停电期间医疗救护和门诊治疗。</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楷体" w:hAnsi="楷体" w:eastAsia="楷体" w:cs="楷体"/>
          <w:sz w:val="32"/>
          <w:szCs w:val="32"/>
        </w:rPr>
        <w:t>（4）维护社会稳定。</w:t>
      </w:r>
      <w:r>
        <w:rPr>
          <w:rFonts w:hint="eastAsia" w:ascii="仿宋_GB2312" w:hAnsi="仿宋_GB2312" w:eastAsia="仿宋_GB2312" w:cs="仿宋_GB2312"/>
          <w:sz w:val="32"/>
          <w:szCs w:val="32"/>
        </w:rPr>
        <w:t>加强涉及国家安全和公共安全的重点单位安全保卫工作，严密防范和严厉打击违法犯罪活动。加强对停电区域内街区、居民区、商场、学校、医院、金融机构、车站及其他重要生产经营场所等重点</w:t>
      </w:r>
      <w:r>
        <w:rPr>
          <w:rFonts w:hint="eastAsia" w:ascii="仿宋_GB2312" w:hAnsi="仿宋_GB2312" w:eastAsia="仿宋_GB2312" w:cs="仿宋_GB2312"/>
          <w:sz w:val="32"/>
          <w:szCs w:val="32"/>
          <w:lang w:val="en-US" w:eastAsia="zh-CN"/>
        </w:rPr>
        <w:t>区域</w:t>
      </w:r>
      <w:r>
        <w:rPr>
          <w:rFonts w:hint="eastAsia" w:ascii="仿宋_GB2312" w:hAnsi="仿宋_GB2312" w:eastAsia="仿宋_GB2312" w:cs="仿宋_GB2312"/>
          <w:sz w:val="32"/>
          <w:szCs w:val="32"/>
        </w:rPr>
        <w:t>、重点部位、人员密集场所的治安巡逻、消防救援，及时疏散人员，解救被困人员，防范治安事件。加强交通疏导，维护道路交通秩序。尽快恢复企业生产经营活动。严厉打击造谣惑众、囤积居奇、哄抬物价等各种违法行为。</w:t>
      </w:r>
    </w:p>
    <w:p>
      <w:pPr>
        <w:spacing w:line="560" w:lineRule="exact"/>
        <w:ind w:firstLine="656" w:firstLineChars="200"/>
        <w:textAlignment w:val="bottom"/>
        <w:rPr>
          <w:rFonts w:hint="eastAsia" w:ascii="仿宋" w:hAnsi="仿宋" w:eastAsia="仿宋" w:cs="仿宋"/>
          <w:sz w:val="32"/>
          <w:szCs w:val="32"/>
        </w:rPr>
      </w:pPr>
      <w:r>
        <w:rPr>
          <w:rFonts w:hint="eastAsia" w:ascii="楷体" w:hAnsi="楷体" w:eastAsia="楷体" w:cs="楷体"/>
          <w:sz w:val="32"/>
          <w:szCs w:val="32"/>
        </w:rPr>
        <w:t>（5）加强信息发布。</w:t>
      </w:r>
      <w:r>
        <w:rPr>
          <w:rFonts w:hint="eastAsia" w:ascii="仿宋_GB2312" w:hAnsi="仿宋_GB2312" w:eastAsia="仿宋_GB2312" w:cs="仿宋_GB2312"/>
          <w:sz w:val="32"/>
          <w:szCs w:val="32"/>
        </w:rPr>
        <w:t>新闻宣传部门按照及时准确、公开透明、客观统一的原则，加强信息发布和舆论引导。</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应急指挥部主动向社会发布停电相关信息和应对工作情况，提示相关注意事项和安保措施。加强舆情收集分析，回应社会关切，澄清不实信息，正确引导社会舆论，稳定公众情绪。</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楷体" w:hAnsi="楷体" w:eastAsia="楷体" w:cs="楷体"/>
          <w:sz w:val="32"/>
          <w:szCs w:val="32"/>
        </w:rPr>
        <w:t>（6）组织事态评估。</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应急指挥部应及时组织对大面积停电事件影响范围、影响程度、发展趋势及恢复进度进行评估，为进一步做好应对工作提供依据。</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4.</w:t>
      </w:r>
      <w:r>
        <w:rPr>
          <w:rFonts w:hint="eastAsia" w:ascii="黑体" w:hAnsi="黑体" w:eastAsia="黑体" w:cs="黑体"/>
          <w:bCs/>
          <w:sz w:val="32"/>
          <w:szCs w:val="32"/>
          <w:lang w:val="en-US" w:eastAsia="zh-CN"/>
        </w:rPr>
        <w:t>3</w:t>
      </w:r>
      <w:r>
        <w:rPr>
          <w:rFonts w:hint="eastAsia" w:ascii="黑体" w:hAnsi="黑体" w:eastAsia="黑体" w:cs="黑体"/>
          <w:bCs/>
          <w:sz w:val="32"/>
          <w:szCs w:val="32"/>
        </w:rPr>
        <w:t xml:space="preserve">  响应终止</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同时满足以下条件时，由县电力应急指挥部终止应急响应：</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（1）电网主干网架基本恢复正常，电网运行参数保持在稳定限额之内，主要发电厂机组运行稳定；</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（2）减供负荷恢复80%以上，受停电影响的重点</w:t>
      </w:r>
      <w:r>
        <w:rPr>
          <w:rFonts w:hint="eastAsia" w:ascii="仿宋_GB2312" w:hAnsi="仿宋_GB2312" w:eastAsia="仿宋_GB2312" w:cs="仿宋_GB2312"/>
          <w:sz w:val="32"/>
          <w:szCs w:val="32"/>
          <w:lang w:val="en-US" w:eastAsia="zh-CN"/>
        </w:rPr>
        <w:t>区域</w:t>
      </w:r>
      <w:r>
        <w:rPr>
          <w:rFonts w:hint="eastAsia" w:ascii="仿宋_GB2312" w:hAnsi="仿宋_GB2312" w:eastAsia="仿宋_GB2312" w:cs="仿宋_GB2312"/>
          <w:sz w:val="32"/>
          <w:szCs w:val="32"/>
        </w:rPr>
        <w:t>负荷恢复90%以上；</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（3）造成大面积停电事件的隐患基本消除；</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（4）大面积停电事件造成的重特大次生衍生事故基本处置完成。</w:t>
      </w:r>
    </w:p>
    <w:p>
      <w:pPr>
        <w:spacing w:line="560" w:lineRule="exact"/>
        <w:ind w:firstLine="656" w:firstLineChars="200"/>
        <w:textAlignment w:val="bottom"/>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5　后期处置</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5.1　处置评估</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大面积停电事件应急响应终止后，</w:t>
      </w:r>
      <w:r>
        <w:rPr>
          <w:rFonts w:hint="eastAsia" w:ascii="仿宋_GB2312" w:hAnsi="仿宋_GB2312" w:eastAsia="仿宋_GB2312" w:cs="仿宋_GB2312"/>
          <w:sz w:val="32"/>
          <w:szCs w:val="32"/>
          <w:lang w:val="en-US" w:eastAsia="zh-CN"/>
        </w:rPr>
        <w:t>县电力应急指挥部</w:t>
      </w:r>
      <w:r>
        <w:rPr>
          <w:rFonts w:hint="eastAsia" w:ascii="仿宋_GB2312" w:hAnsi="仿宋_GB2312" w:eastAsia="仿宋_GB2312" w:cs="仿宋_GB2312"/>
          <w:sz w:val="32"/>
          <w:szCs w:val="32"/>
        </w:rPr>
        <w:t>要及时组织对事件处置工作进行评估，总结经验教训，分析查找问题，提出改进措施，形成处置评估报告。鼓励开展第三方评估。重大及以上大面积停电事件处置评估由市电力应急指挥部组织开展，相关处置评估报告要及时上报市政府。一般或较大大面积停电事件处置评估由县电力应急指挥部在市电力应急指挥部的指导下组织开展，相关处置评估报告要及时上报市电力应急指挥部与县政府。</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5.2　事件调查</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大面积停电事件发生后，根据有关规定成立事故调查组，本着客观、公正、透明的原则，查明事件原因、性质、影响范围、经济损失等情况，提出防范、整改措施和处理处置建议。</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5.3　善后处置</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县电力应急指挥部</w:t>
      </w:r>
      <w:r>
        <w:rPr>
          <w:rFonts w:hint="eastAsia" w:ascii="仿宋_GB2312" w:hAnsi="仿宋_GB2312" w:eastAsia="仿宋_GB2312" w:cs="仿宋_GB2312"/>
          <w:sz w:val="32"/>
          <w:szCs w:val="32"/>
        </w:rPr>
        <w:t>要及时组织制订善后工作方案并组织实施。保险机构要及时开展相关理赔工作，尽快消除大面积停电事件的影响。</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5.4　恢复重建</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大面积停电事件应急响应终止后，需对电网网架结构和设备设施进行修复或重建的，由县政府根据实际工作需要组织编制恢复重建规划</w:t>
      </w:r>
      <w:r>
        <w:rPr>
          <w:rFonts w:hint="eastAsia" w:ascii="仿宋_GB2312" w:hAnsi="仿宋_GB2312" w:eastAsia="仿宋_GB2312" w:cs="仿宋_GB2312"/>
          <w:sz w:val="32"/>
          <w:szCs w:val="32"/>
          <w:lang w:val="en-US" w:eastAsia="zh-CN"/>
        </w:rPr>
        <w:t>并组织</w:t>
      </w:r>
      <w:r>
        <w:rPr>
          <w:rFonts w:hint="eastAsia" w:ascii="仿宋_GB2312" w:hAnsi="仿宋_GB2312" w:eastAsia="仿宋_GB2312" w:cs="仿宋_GB2312"/>
          <w:sz w:val="32"/>
          <w:szCs w:val="32"/>
        </w:rPr>
        <w:t>做好受损电力系统恢复重建工作。</w:t>
      </w:r>
    </w:p>
    <w:p>
      <w:pPr>
        <w:spacing w:line="560" w:lineRule="exact"/>
        <w:ind w:firstLine="656" w:firstLineChars="200"/>
        <w:textAlignment w:val="bottom"/>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6　保障措施</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6.1　队伍保障</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电力企业应建立健全电力抢修应急专业队伍，加强设备维护和应急抢修技能方面的人员培训，定期开展应急演练，提高应急救援能力。</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政府根据需要组织动员供水、供热、供气、通讯、交通运输、市政等专业应急队伍和志愿者等参与大面积停电事件及其次生衍生灾害处置工作。武警部队、公安、消防等做好应急力量支援保障。</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6.2　装备物资保障</w:t>
      </w:r>
    </w:p>
    <w:p>
      <w:pPr>
        <w:spacing w:line="560" w:lineRule="exact"/>
        <w:ind w:firstLine="656" w:firstLineChars="200"/>
        <w:textAlignment w:val="bottom"/>
        <w:rPr>
          <w:rFonts w:hint="eastAsia" w:ascii="仿宋" w:hAnsi="仿宋" w:eastAsia="仿宋" w:cs="仿宋"/>
          <w:sz w:val="32"/>
          <w:szCs w:val="32"/>
        </w:rPr>
      </w:pPr>
      <w:r>
        <w:rPr>
          <w:rFonts w:hint="eastAsia" w:ascii="仿宋_GB2312" w:hAnsi="仿宋_GB2312" w:eastAsia="仿宋_GB2312" w:cs="仿宋_GB2312"/>
          <w:sz w:val="32"/>
          <w:szCs w:val="32"/>
        </w:rPr>
        <w:t>电力企业应储备必要的专业应急装备及物资，建立和完善相应保障体系。</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相关部门要加强应急救援装备物资及生产生活物资的紧急生产、储备调拨和紧急配送工作，保障支援大面积停电事件应对工作需要。鼓励支持社会化储备。</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6.3　通信、交通运输保障</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主管部门要建立健全大面积停电事件应急通信保障体系，形成可靠的通信保障能力，确保应急期间通信联络和信息传递需要。交通运输、铁路等部门要健全紧急运输保障体系，保障应急响应所需人员、物资、装备、器材等的运输。公安部门要加强交通应急管理，保障应急救援车辆优先通行。根据全面推进公务用车制度改革有关规定，有关单位应配备必要的应急车辆，保障应急救援需要。</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6.4　技术保障</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农业农村（水利）、林业等有关部门要为电力日常监测预警及电力应急抢险提供必要的气象、水文、森林火灾等技术支撑服务。电力行业要加强大面积停电事件应对和监测先进技术、装备的研发，制定电力应急技术标准，加强电网、电厂安全应急信息化平台建设。</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6.5　应急电源保障</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电力系统快速恢复能力，加强电网“黑启动”能力建设。政府有关部门和电力企业应充分考虑电源规划布局，保障“黑启动”电源，做好发电机组并网运行。电力企业应配备适量的应急发电装备，对重要电力用户进行摸底排查，必要时为其提供应急电源支援。重要电力用户应按照国家有关技术要求配置应急电源，并加强维护和管理，确保应急状态下能够投入运行。</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6.6  医疗卫生保障</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卫生健康</w:t>
      </w:r>
      <w:r>
        <w:rPr>
          <w:rFonts w:hint="eastAsia" w:ascii="仿宋_GB2312" w:hAnsi="仿宋_GB2312" w:eastAsia="仿宋_GB2312" w:cs="仿宋_GB2312"/>
          <w:sz w:val="32"/>
          <w:szCs w:val="32"/>
          <w:lang w:val="en-US" w:eastAsia="zh-CN"/>
        </w:rPr>
        <w:t>主管</w:t>
      </w:r>
      <w:r>
        <w:rPr>
          <w:rFonts w:hint="eastAsia" w:ascii="仿宋_GB2312" w:hAnsi="仿宋_GB2312" w:eastAsia="仿宋_GB2312" w:cs="仿宋_GB2312"/>
          <w:sz w:val="32"/>
          <w:szCs w:val="32"/>
        </w:rPr>
        <w:t>部门负责督促全县医疗卫生机构加强自备应急电源建设，加强医疗应急救援队伍装备建设，确保在应急响应期间医疗救护和医疗秩序稳定。做好发生次生衍生灾害期间的医疗防护工作。</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6.7　资金保障</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县发展改革委、县财政局、县民政局等有关部门以及各相关电力企业应按照有关规定，对大面积停电事件处置工作和恢复重建工作提供必要的资金保障。</w:t>
      </w:r>
    </w:p>
    <w:p>
      <w:pPr>
        <w:spacing w:line="560" w:lineRule="exact"/>
        <w:ind w:firstLine="656" w:firstLineChars="200"/>
        <w:textAlignment w:val="bottom"/>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7  附则</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7.1  预案管理</w:t>
      </w:r>
    </w:p>
    <w:p>
      <w:pPr>
        <w:spacing w:line="560" w:lineRule="exact"/>
        <w:ind w:firstLine="656" w:firstLineChars="200"/>
        <w:textAlignment w:val="bottom"/>
        <w:rPr>
          <w:rFonts w:hint="eastAsia" w:ascii="楷体" w:hAnsi="楷体" w:eastAsia="楷体" w:cs="楷体"/>
          <w:bCs/>
          <w:sz w:val="32"/>
          <w:szCs w:val="32"/>
        </w:rPr>
      </w:pPr>
      <w:r>
        <w:rPr>
          <w:rFonts w:hint="eastAsia" w:ascii="楷体" w:hAnsi="楷体" w:eastAsia="楷体" w:cs="楷体"/>
          <w:bCs/>
          <w:sz w:val="32"/>
          <w:szCs w:val="32"/>
        </w:rPr>
        <w:t>7.1.1  预案体系</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供电企业及并网运行的各发电企业应制定本单位大面积停电事件应急预案和“黑启动”方案，各重要电力用户应制定大面积停电事件下本单位应急处置方案。有关预案在体系结构上要与本预案相衔接。</w:t>
      </w:r>
    </w:p>
    <w:p>
      <w:pPr>
        <w:spacing w:line="560" w:lineRule="exact"/>
        <w:ind w:firstLine="656" w:firstLineChars="200"/>
        <w:textAlignment w:val="bottom"/>
        <w:rPr>
          <w:rFonts w:hint="eastAsia" w:ascii="楷体" w:hAnsi="楷体" w:eastAsia="楷体" w:cs="楷体"/>
          <w:bCs/>
          <w:sz w:val="32"/>
          <w:szCs w:val="32"/>
        </w:rPr>
      </w:pPr>
      <w:r>
        <w:rPr>
          <w:rFonts w:hint="eastAsia" w:ascii="楷体" w:hAnsi="楷体" w:eastAsia="楷体" w:cs="楷体"/>
          <w:bCs/>
          <w:sz w:val="32"/>
          <w:szCs w:val="32"/>
        </w:rPr>
        <w:t>7.1.2  预案宣传</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园区）、有关成员单位、电力企业、重要电力用户要充分利用多种传播媒体，加大对本预案的宣传教育工作，不断提高企事业单位、社会公众等对本预案的认识，提高企事业单位和社会公众的应急意识和自救能力。提高各镇（园区）、有关成员单位加大电力设施保护和打击破坏电力设施的力度，增强社会各界的电力设施保护意识。</w:t>
      </w:r>
    </w:p>
    <w:p>
      <w:pPr>
        <w:spacing w:line="560" w:lineRule="exact"/>
        <w:ind w:firstLine="656" w:firstLineChars="200"/>
        <w:textAlignment w:val="bottom"/>
        <w:rPr>
          <w:rFonts w:hint="eastAsia" w:ascii="楷体" w:hAnsi="楷体" w:eastAsia="楷体" w:cs="楷体"/>
          <w:bCs/>
          <w:sz w:val="32"/>
          <w:szCs w:val="32"/>
        </w:rPr>
      </w:pPr>
      <w:r>
        <w:rPr>
          <w:rFonts w:hint="eastAsia" w:ascii="楷体" w:hAnsi="楷体" w:eastAsia="楷体" w:cs="楷体"/>
          <w:bCs/>
          <w:sz w:val="32"/>
          <w:szCs w:val="32"/>
        </w:rPr>
        <w:t>7.1.3  预案培训</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电力</w:t>
      </w:r>
      <w:r>
        <w:rPr>
          <w:rFonts w:hint="eastAsia" w:ascii="仿宋_GB2312" w:hAnsi="仿宋_GB2312" w:eastAsia="仿宋_GB2312" w:cs="仿宋_GB2312"/>
          <w:sz w:val="32"/>
          <w:szCs w:val="32"/>
        </w:rPr>
        <w:t>应急指挥</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rPr>
        <w:t>成员单位、电力企业、重要电力用户应定期组织开展本预案的学习培训。电力企业和重要电力用户要加强大面积停电事件应急处置和应急救援能力培训，提高应急管理和应急救援技能水平，以最快的速度恢复电网正常运行。</w:t>
      </w:r>
    </w:p>
    <w:p>
      <w:pPr>
        <w:spacing w:line="560" w:lineRule="exact"/>
        <w:ind w:firstLine="656" w:firstLineChars="200"/>
        <w:textAlignment w:val="bottom"/>
        <w:rPr>
          <w:rFonts w:hint="eastAsia" w:ascii="楷体" w:hAnsi="楷体" w:eastAsia="楷体" w:cs="楷体"/>
          <w:bCs/>
          <w:sz w:val="32"/>
          <w:szCs w:val="32"/>
        </w:rPr>
      </w:pPr>
      <w:r>
        <w:rPr>
          <w:rFonts w:hint="eastAsia" w:ascii="楷体" w:hAnsi="楷体" w:eastAsia="楷体" w:cs="楷体"/>
          <w:bCs/>
          <w:sz w:val="32"/>
          <w:szCs w:val="32"/>
        </w:rPr>
        <w:t>7.1.4  预案演练</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县电力应急指挥</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rPr>
        <w:t>应根据实际情况，至少每三年组织开展一次大面积停电应急处置联合演练，建立起政府职能部门、电力企业、重要电力用户以及新闻媒体、社会公众之间的应急协调联动机制，提高协同应对、联合处置能力。电力企业和重要电力用户应根据自身实际，至少每年开展一次本单位的应急演练。</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7.2  名词术语</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（1）电力安全事故是指电力生产或者电网运行过程中发生的影响电力系统安全稳定运行或者影响电力正常供应的事故（包括热电厂发生的影响热力正常供应的事故）。</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重要电力用户是指在国家或者一个地区（城市）的社会、政治、经济生活中占有重要地位，对其中断供电将可能造成人身伤亡、较大环境污染、较大政治影响、较大经济损失、社会公共秩序严重混乱的用电单位或对供电可靠性有特殊要求的用电场所。</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黑启动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指整个系统因故障停运后，系统全部停电（不排除孤立小电网仍维持运行），处于全“黑”状态，不依赖别的网络帮助，通过系统中具有自启动能力的发电机组启动，带动无自启动能力的发电机组，逐渐扩大系统恢复范围，最终实现整个系统的恢复。</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7.3　预案解释</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本预案由县</w:t>
      </w:r>
      <w:r>
        <w:rPr>
          <w:rFonts w:hint="eastAsia" w:ascii="仿宋_GB2312" w:hAnsi="仿宋_GB2312" w:eastAsia="仿宋_GB2312" w:cs="仿宋_GB2312"/>
          <w:sz w:val="32"/>
          <w:szCs w:val="32"/>
          <w:lang w:val="en-US" w:eastAsia="zh-CN"/>
        </w:rPr>
        <w:t>电力应急指挥部</w:t>
      </w:r>
      <w:r>
        <w:rPr>
          <w:rFonts w:hint="eastAsia" w:ascii="仿宋_GB2312" w:hAnsi="仿宋_GB2312" w:eastAsia="仿宋_GB2312" w:cs="仿宋_GB2312"/>
          <w:sz w:val="32"/>
          <w:szCs w:val="32"/>
        </w:rPr>
        <w:t>负责解释。</w:t>
      </w:r>
    </w:p>
    <w:p>
      <w:pPr>
        <w:spacing w:line="560" w:lineRule="exact"/>
        <w:ind w:firstLine="656" w:firstLineChars="200"/>
        <w:textAlignment w:val="bottom"/>
        <w:rPr>
          <w:rFonts w:hint="eastAsia" w:ascii="黑体" w:hAnsi="黑体" w:eastAsia="黑体" w:cs="黑体"/>
          <w:bCs/>
          <w:sz w:val="32"/>
          <w:szCs w:val="32"/>
        </w:rPr>
      </w:pPr>
      <w:r>
        <w:rPr>
          <w:rFonts w:hint="eastAsia" w:ascii="黑体" w:hAnsi="黑体" w:eastAsia="黑体" w:cs="黑体"/>
          <w:bCs/>
          <w:sz w:val="32"/>
          <w:szCs w:val="32"/>
        </w:rPr>
        <w:t>7.4　预案实施时间</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本预案自印发之日起实施。2015年县政府印发的《砀山县处置电网大面积停电事件应急预案》同时废止。</w:t>
      </w:r>
    </w:p>
    <w:p>
      <w:pPr>
        <w:spacing w:line="560" w:lineRule="exact"/>
        <w:ind w:firstLine="656" w:firstLineChars="200"/>
        <w:textAlignment w:val="bottom"/>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8　附件</w:t>
      </w:r>
    </w:p>
    <w:p>
      <w:pPr>
        <w:numPr>
          <w:ilvl w:val="0"/>
          <w:numId w:val="0"/>
        </w:num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砀山县大面积停电事件应急指挥部、县电力应急办及</w:t>
      </w:r>
      <w:r>
        <w:rPr>
          <w:rFonts w:hint="eastAsia" w:ascii="仿宋_GB2312" w:hAnsi="仿宋_GB2312" w:eastAsia="仿宋_GB2312" w:cs="仿宋_GB2312"/>
          <w:sz w:val="32"/>
          <w:szCs w:val="32"/>
          <w:lang w:val="en-US" w:eastAsia="zh-CN"/>
        </w:rPr>
        <w:t xml:space="preserve">  </w:t>
      </w:r>
    </w:p>
    <w:p>
      <w:pPr>
        <w:numPr>
          <w:ilvl w:val="0"/>
          <w:numId w:val="0"/>
        </w:numPr>
        <w:spacing w:line="560" w:lineRule="exact"/>
        <w:ind w:firstLine="984" w:firstLineChars="3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相应工作组的组成和职责</w:t>
      </w:r>
    </w:p>
    <w:p>
      <w:pPr>
        <w:spacing w:line="560" w:lineRule="exact"/>
        <w:ind w:firstLine="656"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砀山县大面积停电事件危害程度分析</w:t>
      </w:r>
    </w:p>
    <w:p>
      <w:pPr>
        <w:spacing w:line="560" w:lineRule="exact"/>
        <w:textAlignment w:val="bottom"/>
        <w:rPr>
          <w:rFonts w:hint="eastAsia" w:ascii="方正小标宋简体" w:hAnsi="方正小标宋简体" w:eastAsia="方正小标宋简体" w:cs="方正小标宋简体"/>
          <w:sz w:val="32"/>
          <w:szCs w:val="32"/>
        </w:rPr>
      </w:pPr>
      <w:r>
        <w:rPr>
          <w:rFonts w:eastAsia="仿宋_GB2312"/>
          <w:sz w:val="32"/>
          <w:szCs w:val="32"/>
        </w:rPr>
        <w:br w:type="page"/>
      </w:r>
      <w:r>
        <w:rPr>
          <w:rFonts w:hint="eastAsia" w:ascii="方正黑体_GBK" w:hAnsi="方正黑体_GBK" w:eastAsia="方正黑体_GBK" w:cs="方正黑体_GBK"/>
          <w:b w:val="0"/>
          <w:bCs/>
          <w:sz w:val="32"/>
          <w:szCs w:val="32"/>
        </w:rPr>
        <w:t>附件1</w:t>
      </w:r>
    </w:p>
    <w:p>
      <w:pPr>
        <w:autoSpaceDN w:val="0"/>
        <w:spacing w:line="560" w:lineRule="exact"/>
        <w:ind w:firstLine="656" w:firstLineChars="200"/>
        <w:jc w:val="center"/>
        <w:textAlignment w:val="baseline"/>
        <w:rPr>
          <w:rFonts w:eastAsia="方正小标宋简体"/>
          <w:sz w:val="32"/>
          <w:szCs w:val="32"/>
        </w:rPr>
      </w:pPr>
    </w:p>
    <w:p>
      <w:pPr>
        <w:autoSpaceDN w:val="0"/>
        <w:spacing w:line="560" w:lineRule="exact"/>
        <w:jc w:val="center"/>
        <w:textAlignment w:val="baseline"/>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砀山县大面积停电事件应急指挥部、</w:t>
      </w:r>
    </w:p>
    <w:p>
      <w:pPr>
        <w:autoSpaceDN w:val="0"/>
        <w:spacing w:line="560" w:lineRule="exact"/>
        <w:jc w:val="center"/>
        <w:textAlignment w:val="baseline"/>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县电力应急办及相应工作组的组成和职责</w:t>
      </w:r>
    </w:p>
    <w:p>
      <w:pPr>
        <w:autoSpaceDN w:val="0"/>
        <w:spacing w:line="560" w:lineRule="exact"/>
        <w:ind w:firstLine="656" w:firstLineChars="200"/>
        <w:jc w:val="center"/>
        <w:textAlignment w:val="baseline"/>
        <w:rPr>
          <w:rFonts w:eastAsia="仿宋_GB2312"/>
          <w:bCs/>
          <w:sz w:val="32"/>
          <w:szCs w:val="32"/>
        </w:rPr>
      </w:pPr>
    </w:p>
    <w:p>
      <w:pPr>
        <w:spacing w:line="560" w:lineRule="exact"/>
        <w:ind w:firstLine="65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砀山县大面积停电事件应急指挥部总指挥由县政府分管</w:t>
      </w:r>
      <w:r>
        <w:rPr>
          <w:rFonts w:hint="eastAsia" w:ascii="仿宋_GB2312" w:hAnsi="仿宋_GB2312" w:eastAsia="仿宋_GB2312" w:cs="仿宋_GB2312"/>
          <w:sz w:val="32"/>
          <w:szCs w:val="32"/>
          <w:lang w:eastAsia="zh-CN"/>
        </w:rPr>
        <w:t>发改工作副县长</w:t>
      </w:r>
      <w:r>
        <w:rPr>
          <w:rFonts w:hint="eastAsia" w:ascii="仿宋_GB2312" w:hAnsi="仿宋_GB2312" w:eastAsia="仿宋_GB2312" w:cs="仿宋_GB2312"/>
          <w:sz w:val="32"/>
          <w:szCs w:val="32"/>
        </w:rPr>
        <w:t>担任，必要时由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长担任，副总指挥由县政府办公室及县发展改革委、国网砀山县供电公司主要负责人担任。成员主要包括县委宣传部（县网信办）、县</w:t>
      </w:r>
      <w:r>
        <w:rPr>
          <w:rFonts w:hint="eastAsia" w:ascii="仿宋_GB2312" w:hAnsi="仿宋_GB2312" w:eastAsia="仿宋_GB2312" w:cs="仿宋_GB2312"/>
          <w:sz w:val="32"/>
          <w:szCs w:val="32"/>
          <w:lang w:val="en-US" w:eastAsia="zh-CN"/>
        </w:rPr>
        <w:t>发展和改革</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员会</w:t>
      </w:r>
      <w:r>
        <w:rPr>
          <w:rFonts w:hint="eastAsia" w:ascii="仿宋_GB2312" w:hAnsi="仿宋_GB2312" w:eastAsia="仿宋_GB2312" w:cs="仿宋_GB2312"/>
          <w:sz w:val="32"/>
          <w:szCs w:val="32"/>
        </w:rPr>
        <w:t>、县经济和信息化局、县公安局、县民政局、县财政局（地方金融监管局）、县自然资源</w:t>
      </w:r>
      <w:r>
        <w:rPr>
          <w:rFonts w:hint="eastAsia" w:ascii="仿宋_GB2312" w:hAnsi="仿宋_GB2312" w:eastAsia="仿宋_GB2312" w:cs="仿宋_GB2312"/>
          <w:sz w:val="32"/>
          <w:szCs w:val="32"/>
          <w:lang w:val="en-US" w:eastAsia="zh-CN"/>
        </w:rPr>
        <w:t>和规划</w:t>
      </w:r>
      <w:r>
        <w:rPr>
          <w:rFonts w:hint="eastAsia" w:ascii="仿宋_GB2312" w:hAnsi="仿宋_GB2312" w:eastAsia="仿宋_GB2312" w:cs="仿宋_GB2312"/>
          <w:sz w:val="32"/>
          <w:szCs w:val="32"/>
        </w:rPr>
        <w:t>局、县林业局、县</w:t>
      </w:r>
      <w:r>
        <w:rPr>
          <w:rFonts w:hint="eastAsia" w:ascii="仿宋_GB2312" w:hAnsi="仿宋_GB2312" w:eastAsia="仿宋_GB2312" w:cs="仿宋_GB2312"/>
          <w:sz w:val="32"/>
          <w:szCs w:val="32"/>
          <w:lang w:val="en-US" w:eastAsia="zh-CN"/>
        </w:rPr>
        <w:t>住房和城乡建设</w:t>
      </w:r>
      <w:r>
        <w:rPr>
          <w:rFonts w:hint="eastAsia" w:ascii="仿宋_GB2312" w:hAnsi="仿宋_GB2312" w:eastAsia="仿宋_GB2312" w:cs="仿宋_GB2312"/>
          <w:sz w:val="32"/>
          <w:szCs w:val="32"/>
        </w:rPr>
        <w:t>局、县</w:t>
      </w:r>
      <w:r>
        <w:rPr>
          <w:rFonts w:hint="eastAsia" w:ascii="仿宋_GB2312" w:hAnsi="仿宋_GB2312" w:eastAsia="仿宋_GB2312" w:cs="仿宋_GB2312"/>
          <w:sz w:val="32"/>
          <w:szCs w:val="32"/>
          <w:lang w:val="en-US" w:eastAsia="zh-CN"/>
        </w:rPr>
        <w:t>交通运输</w:t>
      </w:r>
      <w:r>
        <w:rPr>
          <w:rFonts w:hint="eastAsia" w:ascii="仿宋_GB2312" w:hAnsi="仿宋_GB2312" w:eastAsia="仿宋_GB2312" w:cs="仿宋_GB2312"/>
          <w:sz w:val="32"/>
          <w:szCs w:val="32"/>
        </w:rPr>
        <w:t>局、县农业农村（水利）局、县商务局、</w:t>
      </w:r>
      <w:r>
        <w:rPr>
          <w:rFonts w:hint="eastAsia" w:ascii="仿宋_GB2312" w:hAnsi="仿宋_GB2312" w:eastAsia="仿宋_GB2312" w:cs="仿宋_GB2312"/>
          <w:sz w:val="32"/>
          <w:szCs w:val="32"/>
          <w:lang w:val="en-US" w:eastAsia="zh-CN"/>
        </w:rPr>
        <w:t>县市场监督管理局、</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广播电视台</w:t>
      </w:r>
      <w:r>
        <w:rPr>
          <w:rFonts w:hint="eastAsia" w:ascii="仿宋_GB2312" w:hAnsi="仿宋_GB2312" w:eastAsia="仿宋_GB2312" w:cs="仿宋_GB2312"/>
          <w:sz w:val="32"/>
          <w:szCs w:val="32"/>
        </w:rPr>
        <w:t>、县应急管理局、县气象局、县教育局、县人力资源和社会保障局、县生态环境分局、县卫生健康</w:t>
      </w:r>
      <w:r>
        <w:rPr>
          <w:rFonts w:hint="eastAsia" w:ascii="仿宋_GB2312" w:hAnsi="仿宋_GB2312" w:eastAsia="仿宋_GB2312" w:cs="仿宋_GB2312"/>
          <w:sz w:val="32"/>
          <w:szCs w:val="32"/>
          <w:lang w:val="en-US" w:eastAsia="zh-CN"/>
        </w:rPr>
        <w:t>委员会</w:t>
      </w:r>
      <w:r>
        <w:rPr>
          <w:rFonts w:hint="eastAsia" w:ascii="仿宋_GB2312" w:hAnsi="仿宋_GB2312" w:eastAsia="仿宋_GB2312" w:cs="仿宋_GB2312"/>
          <w:sz w:val="32"/>
          <w:szCs w:val="32"/>
        </w:rPr>
        <w:t>、人民银行砀山支行、县消防队、县武警中队、砀山火车站、砀山高铁站、国网砀山县供电公司、光大新能源等相关部门和单位的负责人。根据应对工作需要，可增加有关镇（园区）、其他有关部门和相关电力企业。</w:t>
      </w:r>
    </w:p>
    <w:p>
      <w:pPr>
        <w:spacing w:line="560" w:lineRule="exact"/>
        <w:ind w:firstLine="65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砀山县大面积停电事件应急指挥部下设砀山县大面积停电事件应急指挥部办公室（以下简称县电力应急办，设在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发展改革委，办公场地在国网砀山县供电公司），负责县电力应急指挥部日常工作。办公室成员单位由县委宣传部、发展改革委、经济和信息化局、公安局、应急局、国网砀山县供电公司组成。办公室主任由发展改革委分管负责人担任，副主任由委宣传部、应急局、公安局、国网砀山县供电公司分管负责人兼任。</w:t>
      </w:r>
    </w:p>
    <w:p>
      <w:pPr>
        <w:spacing w:line="560" w:lineRule="exact"/>
        <w:ind w:firstLine="65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砀山县大面积停电事件应急指挥部设立相应工作组，各工作组组成及职责分工如下：</w:t>
      </w:r>
    </w:p>
    <w:p>
      <w:pPr>
        <w:spacing w:line="560" w:lineRule="exact"/>
        <w:ind w:firstLine="656" w:firstLineChars="200"/>
        <w:rPr>
          <w:rFonts w:hint="eastAsia" w:ascii="仿宋_GB2312" w:hAnsi="仿宋_GB2312" w:eastAsia="仿宋_GB2312" w:cs="仿宋_GB2312"/>
          <w:sz w:val="32"/>
          <w:szCs w:val="32"/>
        </w:rPr>
      </w:pPr>
      <w:r>
        <w:rPr>
          <w:rFonts w:hint="eastAsia" w:ascii="黑体" w:hAnsi="黑体" w:eastAsia="黑体" w:cs="黑体"/>
          <w:bCs/>
          <w:sz w:val="32"/>
          <w:szCs w:val="32"/>
        </w:rPr>
        <w:t>1．电力恢复组</w:t>
      </w:r>
      <w:r>
        <w:rPr>
          <w:rFonts w:hint="eastAsia" w:ascii="黑体" w:hAnsi="黑体" w:eastAsia="黑体" w:cs="黑体"/>
          <w:sz w:val="32"/>
          <w:szCs w:val="32"/>
        </w:rPr>
        <w:t>：</w:t>
      </w:r>
      <w:r>
        <w:rPr>
          <w:rFonts w:hint="eastAsia" w:ascii="仿宋_GB2312" w:hAnsi="仿宋_GB2312" w:eastAsia="仿宋_GB2312" w:cs="仿宋_GB2312"/>
          <w:sz w:val="32"/>
          <w:szCs w:val="32"/>
        </w:rPr>
        <w:t>由县发展改革委牵头，县经济和信息化局、县公安局、县农业农村（水利）局、县应急管理局、县自然资源</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规划局、县林业局、县气象局、县武警中队、国网砀山县供电公司等参加，视情增加其他电力企业。</w:t>
      </w:r>
    </w:p>
    <w:p>
      <w:pPr>
        <w:spacing w:line="560" w:lineRule="exact"/>
        <w:ind w:firstLine="65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组织进行技术研判，开展事态分析；组织电力抢修恢复工作，尽快恢复受影响区域供电工作；负责重要电力用户、重点区域的临时供电保障；负责组织跨区域的电力应急抢修恢复协调工作；协调公安、武警有关力量参与应对。</w:t>
      </w:r>
      <w:r>
        <w:rPr>
          <w:rFonts w:hint="eastAsia" w:ascii="仿宋_GB2312" w:hAnsi="仿宋_GB2312" w:eastAsia="仿宋_GB2312" w:cs="仿宋_GB2312"/>
          <w:sz w:val="32"/>
          <w:szCs w:val="32"/>
        </w:rPr>
        <w:br w:type="textWrapping"/>
      </w:r>
      <w:r>
        <w:rPr>
          <w:rFonts w:hint="eastAsia" w:ascii="仿宋" w:hAnsi="仿宋" w:eastAsia="仿宋" w:cs="仿宋"/>
          <w:bCs/>
          <w:sz w:val="32"/>
          <w:szCs w:val="32"/>
        </w:rPr>
        <w:t>　</w:t>
      </w:r>
      <w:r>
        <w:rPr>
          <w:rFonts w:hint="eastAsia" w:ascii="黑体" w:hAnsi="黑体" w:eastAsia="黑体" w:cs="黑体"/>
          <w:bCs/>
          <w:sz w:val="32"/>
          <w:szCs w:val="32"/>
        </w:rPr>
        <w:t>　2．新闻宣传组：</w:t>
      </w:r>
      <w:r>
        <w:rPr>
          <w:rFonts w:hint="eastAsia" w:ascii="仿宋_GB2312" w:hAnsi="仿宋_GB2312" w:eastAsia="仿宋_GB2312" w:cs="仿宋_GB2312"/>
          <w:sz w:val="32"/>
          <w:szCs w:val="32"/>
        </w:rPr>
        <w:t>由县委宣传部（网信办）牵头，县发展改革委、县经济和信息化局、县公安局、县</w:t>
      </w:r>
      <w:r>
        <w:rPr>
          <w:rFonts w:hint="eastAsia" w:ascii="仿宋_GB2312" w:hAnsi="仿宋_GB2312" w:eastAsia="仿宋_GB2312" w:cs="仿宋_GB2312"/>
          <w:sz w:val="32"/>
          <w:szCs w:val="32"/>
          <w:lang w:eastAsia="zh-CN"/>
        </w:rPr>
        <w:t>广播电视台</w:t>
      </w:r>
      <w:r>
        <w:rPr>
          <w:rFonts w:hint="eastAsia" w:ascii="仿宋_GB2312" w:hAnsi="仿宋_GB2312" w:eastAsia="仿宋_GB2312" w:cs="仿宋_GB2312"/>
          <w:sz w:val="32"/>
          <w:szCs w:val="32"/>
        </w:rPr>
        <w:t>、县应急管理局、国网砀山县供电公司等参加。</w:t>
      </w:r>
    </w:p>
    <w:p>
      <w:pPr>
        <w:spacing w:line="560" w:lineRule="exact"/>
        <w:ind w:firstLine="65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主要职责：组织开展事件进展、应急工作情况等权威信息发布，加强新闻宣传报道；收集分析</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内外舆情和社会公众动态，加强媒体、电信和互联网管理，正确引导舆论；及时澄清不实信息，回应社会关切。</w:t>
      </w:r>
    </w:p>
    <w:p>
      <w:pPr>
        <w:spacing w:line="560" w:lineRule="exact"/>
        <w:ind w:firstLine="656" w:firstLineChars="200"/>
        <w:rPr>
          <w:rFonts w:hint="eastAsia" w:ascii="仿宋_GB2312" w:hAnsi="仿宋_GB2312" w:eastAsia="仿宋_GB2312" w:cs="仿宋_GB2312"/>
          <w:sz w:val="32"/>
          <w:szCs w:val="32"/>
        </w:rPr>
      </w:pPr>
      <w:r>
        <w:rPr>
          <w:rFonts w:hint="eastAsia" w:ascii="黑体" w:hAnsi="黑体" w:eastAsia="黑体" w:cs="黑体"/>
          <w:bCs/>
          <w:sz w:val="32"/>
          <w:szCs w:val="32"/>
        </w:rPr>
        <w:t>3．综合保障组：</w:t>
      </w:r>
      <w:r>
        <w:rPr>
          <w:rFonts w:hint="eastAsia" w:ascii="仿宋_GB2312" w:hAnsi="仿宋_GB2312" w:eastAsia="仿宋_GB2312" w:cs="仿宋_GB2312"/>
          <w:sz w:val="32"/>
          <w:szCs w:val="32"/>
        </w:rPr>
        <w:t>由县发展改革委牵头，县经济和信息化局、县应急管理局、县公安局、县民政局、县财政局（地方金融监管局）、县自然资源</w:t>
      </w:r>
      <w:r>
        <w:rPr>
          <w:rFonts w:hint="eastAsia" w:ascii="仿宋_GB2312" w:hAnsi="仿宋_GB2312" w:eastAsia="仿宋_GB2312" w:cs="仿宋_GB2312"/>
          <w:sz w:val="32"/>
          <w:szCs w:val="32"/>
          <w:lang w:val="en-US" w:eastAsia="zh-CN"/>
        </w:rPr>
        <w:t>和规划</w:t>
      </w:r>
      <w:r>
        <w:rPr>
          <w:rFonts w:hint="eastAsia" w:ascii="仿宋_GB2312" w:hAnsi="仿宋_GB2312" w:eastAsia="仿宋_GB2312" w:cs="仿宋_GB2312"/>
          <w:sz w:val="32"/>
          <w:szCs w:val="32"/>
        </w:rPr>
        <w:t>局、县住建局、</w:t>
      </w:r>
      <w:r>
        <w:rPr>
          <w:rFonts w:hint="eastAsia" w:ascii="仿宋_GB2312" w:hAnsi="仿宋_GB2312" w:eastAsia="仿宋_GB2312" w:cs="仿宋_GB2312"/>
          <w:sz w:val="32"/>
          <w:szCs w:val="32"/>
          <w:lang w:eastAsia="zh-CN"/>
        </w:rPr>
        <w:t>县城管局、</w:t>
      </w:r>
      <w:r>
        <w:rPr>
          <w:rFonts w:hint="eastAsia" w:ascii="仿宋_GB2312" w:hAnsi="仿宋_GB2312" w:eastAsia="仿宋_GB2312" w:cs="仿宋_GB2312"/>
          <w:sz w:val="32"/>
          <w:szCs w:val="32"/>
        </w:rPr>
        <w:t>县交运局、县农业农村（水利）局、县商务局、县文旅</w:t>
      </w:r>
      <w:r>
        <w:rPr>
          <w:rFonts w:hint="eastAsia" w:ascii="仿宋_GB2312" w:hAnsi="仿宋_GB2312" w:eastAsia="仿宋_GB2312" w:cs="仿宋_GB2312"/>
          <w:sz w:val="32"/>
          <w:szCs w:val="32"/>
          <w:lang w:val="en-US" w:eastAsia="zh-CN"/>
        </w:rPr>
        <w:t>体</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砀山县火车站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高铁站、</w:t>
      </w:r>
      <w:r>
        <w:rPr>
          <w:rFonts w:hint="eastAsia" w:ascii="仿宋_GB2312" w:hAnsi="仿宋_GB2312" w:eastAsia="仿宋_GB2312" w:cs="仿宋_GB2312"/>
          <w:sz w:val="32"/>
          <w:szCs w:val="32"/>
        </w:rPr>
        <w:t>国网砀山县供电公司等参加，视情增加其他电力企业（售电公司）。</w:t>
      </w:r>
    </w:p>
    <w:p>
      <w:pPr>
        <w:spacing w:line="560" w:lineRule="exact"/>
        <w:ind w:firstLine="65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对大面积停电事件受灾情况进行核实，指导恢复电力抢修方案，落实人员、资金和物资；组织做好应急救援装备物资及生产生活物资的紧急生产、储备调拨和紧急配送工作；及时组织调运重要生活必需品，保障群众基本生活和市场供应；维护供水、供气、供热、通信、广播电视等设施正常运行；维护铁路、道路、水路等基本交通运行；组织开展事件处置评估。</w:t>
      </w:r>
    </w:p>
    <w:p>
      <w:pPr>
        <w:spacing w:line="560" w:lineRule="exact"/>
        <w:ind w:firstLine="656" w:firstLineChars="200"/>
        <w:rPr>
          <w:rFonts w:hint="eastAsia" w:ascii="仿宋_GB2312" w:hAnsi="仿宋_GB2312" w:eastAsia="仿宋_GB2312" w:cs="仿宋_GB2312"/>
          <w:sz w:val="32"/>
          <w:szCs w:val="32"/>
        </w:rPr>
      </w:pPr>
      <w:r>
        <w:rPr>
          <w:rFonts w:hint="eastAsia" w:ascii="黑体" w:hAnsi="黑体" w:eastAsia="黑体" w:cs="黑体"/>
          <w:bCs/>
          <w:sz w:val="32"/>
          <w:szCs w:val="32"/>
        </w:rPr>
        <w:t>4．社会稳定组：</w:t>
      </w:r>
      <w:r>
        <w:rPr>
          <w:rFonts w:hint="eastAsia" w:ascii="仿宋_GB2312" w:hAnsi="仿宋_GB2312" w:eastAsia="仿宋_GB2312" w:cs="仿宋_GB2312"/>
          <w:sz w:val="32"/>
          <w:szCs w:val="32"/>
        </w:rPr>
        <w:t>由县公安局牵头，县委宣传部（网信办）、县发展改革委、县经济和信息化局、县民政局、县交通运输局、县商务局、县市场</w:t>
      </w:r>
      <w:r>
        <w:rPr>
          <w:rFonts w:hint="eastAsia" w:ascii="仿宋_GB2312" w:hAnsi="仿宋_GB2312" w:eastAsia="仿宋_GB2312" w:cs="仿宋_GB2312"/>
          <w:sz w:val="32"/>
          <w:szCs w:val="32"/>
          <w:lang w:eastAsia="zh-CN"/>
        </w:rPr>
        <w:t>监管</w:t>
      </w:r>
      <w:r>
        <w:rPr>
          <w:rFonts w:hint="eastAsia" w:ascii="仿宋_GB2312" w:hAnsi="仿宋_GB2312" w:eastAsia="仿宋_GB2312" w:cs="仿宋_GB2312"/>
          <w:sz w:val="32"/>
          <w:szCs w:val="32"/>
        </w:rPr>
        <w:t>局、武警中队等参加。</w:t>
      </w:r>
    </w:p>
    <w:p>
      <w:pPr>
        <w:spacing w:line="560" w:lineRule="exact"/>
        <w:ind w:firstLine="65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主要职责：加强对受影响</w:t>
      </w:r>
      <w:r>
        <w:rPr>
          <w:rFonts w:hint="eastAsia" w:ascii="仿宋_GB2312" w:hAnsi="仿宋_GB2312" w:eastAsia="仿宋_GB2312" w:cs="仿宋_GB2312"/>
          <w:sz w:val="32"/>
          <w:szCs w:val="32"/>
          <w:lang w:val="en-US" w:eastAsia="zh-CN"/>
        </w:rPr>
        <w:t>区域</w:t>
      </w:r>
      <w:r>
        <w:rPr>
          <w:rFonts w:hint="eastAsia" w:ascii="仿宋_GB2312" w:hAnsi="仿宋_GB2312" w:eastAsia="仿宋_GB2312" w:cs="仿宋_GB2312"/>
          <w:sz w:val="32"/>
          <w:szCs w:val="32"/>
        </w:rPr>
        <w:t>社会治安管理，严厉打击借机传播谣言制造社会恐慌，以及趁机盗窃、抢劫、哄抢等违法犯罪行为；加强对转移人员安置点、救灾物资存放点等重点地区治安管控；加强对重要生活必需品等商品的市场监管和调控，打击囤积居奇行为；加强对重点区域、重点单位的警戒；做好受影响人员与涉事单位、镇（园区）及有关部门矛盾纠纷化解等工作，切实维护社会稳定。</w:t>
      </w:r>
    </w:p>
    <w:p>
      <w:pPr>
        <w:spacing w:line="560" w:lineRule="exact"/>
        <w:rPr>
          <w:rFonts w:hint="eastAsia" w:ascii="方正小标宋简体" w:hAnsi="方正小标宋简体" w:eastAsia="方正小标宋简体" w:cs="方正小标宋简体"/>
          <w:sz w:val="32"/>
          <w:szCs w:val="32"/>
        </w:rPr>
      </w:pPr>
      <w:r>
        <w:rPr>
          <w:rFonts w:hint="eastAsia" w:ascii="仿宋" w:hAnsi="仿宋" w:eastAsia="仿宋" w:cs="仿宋"/>
          <w:sz w:val="32"/>
          <w:szCs w:val="32"/>
        </w:rPr>
        <w:br w:type="page"/>
      </w:r>
      <w:r>
        <w:rPr>
          <w:rFonts w:hint="eastAsia" w:ascii="黑体" w:hAnsi="黑体" w:eastAsia="黑体" w:cs="黑体"/>
          <w:sz w:val="32"/>
          <w:szCs w:val="32"/>
        </w:rPr>
        <w:t>附件2</w:t>
      </w:r>
    </w:p>
    <w:p>
      <w:pPr>
        <w:widowControl/>
        <w:snapToGrid w:val="0"/>
        <w:spacing w:line="560" w:lineRule="exact"/>
        <w:jc w:val="center"/>
        <w:rPr>
          <w:sz w:val="24"/>
        </w:rPr>
      </w:pPr>
    </w:p>
    <w:p>
      <w:pPr>
        <w:widowControl/>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_GBK" w:hAnsi="方正小标宋_GBK" w:eastAsia="方正小标宋_GBK" w:cs="方正小标宋_GBK"/>
          <w:sz w:val="44"/>
          <w:szCs w:val="44"/>
        </w:rPr>
        <w:t>砀山县大面积停电事件危害程度分析</w:t>
      </w:r>
    </w:p>
    <w:p>
      <w:pPr>
        <w:widowControl/>
        <w:snapToGrid w:val="0"/>
        <w:spacing w:line="560" w:lineRule="exact"/>
        <w:jc w:val="center"/>
        <w:rPr>
          <w:rFonts w:eastAsia="方正小标宋简体"/>
          <w:sz w:val="44"/>
          <w:szCs w:val="44"/>
        </w:rPr>
      </w:pPr>
    </w:p>
    <w:tbl>
      <w:tblPr>
        <w:tblStyle w:val="8"/>
        <w:tblW w:w="981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6"/>
        <w:gridCol w:w="1287"/>
        <w:gridCol w:w="6360"/>
        <w:gridCol w:w="1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blHeader/>
          <w:jc w:val="center"/>
        </w:trPr>
        <w:tc>
          <w:tcPr>
            <w:tcW w:w="496" w:type="dxa"/>
            <w:noWrap w:val="0"/>
            <w:vAlign w:val="center"/>
          </w:tcPr>
          <w:p>
            <w:pPr>
              <w:widowControl/>
              <w:spacing w:line="560" w:lineRule="exact"/>
              <w:ind w:left="-43" w:leftChars="-20" w:right="-43" w:rightChars="-20"/>
              <w:jc w:val="center"/>
              <w:rPr>
                <w:rFonts w:eastAsia="方正黑体_GBK"/>
                <w:color w:val="000000"/>
                <w:sz w:val="24"/>
              </w:rPr>
            </w:pPr>
            <w:r>
              <w:rPr>
                <w:rFonts w:eastAsia="黑体"/>
                <w:color w:val="000000"/>
                <w:sz w:val="24"/>
              </w:rPr>
              <w:t>序号</w:t>
            </w:r>
          </w:p>
        </w:tc>
        <w:tc>
          <w:tcPr>
            <w:tcW w:w="1287" w:type="dxa"/>
            <w:noWrap w:val="0"/>
            <w:vAlign w:val="center"/>
          </w:tcPr>
          <w:p>
            <w:pPr>
              <w:widowControl/>
              <w:spacing w:line="560" w:lineRule="exact"/>
              <w:ind w:left="-43" w:leftChars="-20" w:right="-43" w:rightChars="-20"/>
              <w:jc w:val="center"/>
              <w:rPr>
                <w:rFonts w:eastAsia="方正黑体_GBK"/>
                <w:color w:val="000000"/>
                <w:sz w:val="24"/>
              </w:rPr>
            </w:pPr>
            <w:r>
              <w:rPr>
                <w:rFonts w:eastAsia="黑体"/>
                <w:color w:val="000000"/>
                <w:sz w:val="24"/>
              </w:rPr>
              <w:t>影响范围</w:t>
            </w:r>
          </w:p>
        </w:tc>
        <w:tc>
          <w:tcPr>
            <w:tcW w:w="6360" w:type="dxa"/>
            <w:noWrap w:val="0"/>
            <w:vAlign w:val="center"/>
          </w:tcPr>
          <w:p>
            <w:pPr>
              <w:widowControl/>
              <w:spacing w:line="560" w:lineRule="exact"/>
              <w:ind w:left="-43" w:leftChars="-20" w:right="-43" w:rightChars="-20"/>
              <w:jc w:val="center"/>
              <w:rPr>
                <w:rFonts w:eastAsia="方正黑体_GBK"/>
                <w:color w:val="000000"/>
                <w:sz w:val="24"/>
              </w:rPr>
            </w:pPr>
            <w:r>
              <w:rPr>
                <w:rFonts w:eastAsia="黑体"/>
                <w:color w:val="000000"/>
                <w:sz w:val="24"/>
              </w:rPr>
              <w:t>影响程度</w:t>
            </w:r>
          </w:p>
        </w:tc>
        <w:tc>
          <w:tcPr>
            <w:tcW w:w="1675" w:type="dxa"/>
            <w:noWrap w:val="0"/>
            <w:vAlign w:val="center"/>
          </w:tcPr>
          <w:p>
            <w:pPr>
              <w:widowControl/>
              <w:spacing w:line="560" w:lineRule="exact"/>
              <w:ind w:left="-43" w:leftChars="-20" w:right="-43" w:rightChars="-20"/>
              <w:jc w:val="center"/>
              <w:rPr>
                <w:rFonts w:eastAsia="方正黑体_GBK"/>
                <w:color w:val="000000"/>
                <w:sz w:val="24"/>
              </w:rPr>
            </w:pPr>
            <w:r>
              <w:rPr>
                <w:rFonts w:eastAsia="黑体"/>
                <w:color w:val="000000"/>
                <w:sz w:val="24"/>
              </w:rPr>
              <w:t>对应部门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424" w:hRule="atLeast"/>
          <w:jc w:val="center"/>
        </w:trPr>
        <w:tc>
          <w:tcPr>
            <w:tcW w:w="496" w:type="dxa"/>
            <w:noWrap w:val="0"/>
            <w:vAlign w:val="center"/>
          </w:tcPr>
          <w:p>
            <w:pPr>
              <w:widowControl/>
              <w:spacing w:line="560" w:lineRule="exact"/>
              <w:ind w:left="377" w:leftChars="-20" w:right="-43" w:rightChars="-20" w:hanging="420"/>
              <w:jc w:val="center"/>
              <w:rPr>
                <w:color w:val="000000"/>
                <w:sz w:val="24"/>
              </w:rPr>
            </w:pPr>
            <w:r>
              <w:rPr>
                <w:color w:val="000000"/>
                <w:sz w:val="24"/>
              </w:rPr>
              <w:t>1</w:t>
            </w:r>
          </w:p>
        </w:tc>
        <w:tc>
          <w:tcPr>
            <w:tcW w:w="1287" w:type="dxa"/>
            <w:noWrap w:val="0"/>
            <w:vAlign w:val="center"/>
          </w:tcPr>
          <w:p>
            <w:pPr>
              <w:widowControl/>
              <w:spacing w:line="560" w:lineRule="exact"/>
              <w:ind w:left="-43" w:leftChars="-20" w:right="-43" w:rightChars="-20"/>
              <w:jc w:val="center"/>
              <w:rPr>
                <w:color w:val="000000"/>
                <w:sz w:val="24"/>
              </w:rPr>
            </w:pPr>
            <w:r>
              <w:rPr>
                <w:color w:val="000000"/>
                <w:sz w:val="24"/>
              </w:rPr>
              <w:t>城市公共交通系统</w:t>
            </w:r>
          </w:p>
        </w:tc>
        <w:tc>
          <w:tcPr>
            <w:tcW w:w="6360" w:type="dxa"/>
            <w:noWrap w:val="0"/>
            <w:vAlign w:val="center"/>
          </w:tcPr>
          <w:p>
            <w:pPr>
              <w:widowControl/>
              <w:spacing w:line="560" w:lineRule="exact"/>
              <w:ind w:left="-43" w:leftChars="-20" w:right="-43" w:rightChars="-20"/>
              <w:rPr>
                <w:color w:val="000000"/>
                <w:sz w:val="24"/>
              </w:rPr>
            </w:pPr>
            <w:r>
              <w:rPr>
                <w:color w:val="000000"/>
                <w:sz w:val="24"/>
              </w:rPr>
              <w:t>电网一旦发生大面积停电，将</w:t>
            </w:r>
            <w:r>
              <w:rPr>
                <w:rFonts w:hint="eastAsia"/>
                <w:color w:val="000000"/>
                <w:sz w:val="24"/>
              </w:rPr>
              <w:t>引发交通信号系统停运，</w:t>
            </w:r>
            <w:r>
              <w:rPr>
                <w:color w:val="000000"/>
                <w:sz w:val="24"/>
              </w:rPr>
              <w:t>造成公共交通</w:t>
            </w:r>
            <w:r>
              <w:rPr>
                <w:rFonts w:hint="eastAsia"/>
                <w:color w:val="000000"/>
                <w:sz w:val="24"/>
              </w:rPr>
              <w:t>大范围</w:t>
            </w:r>
            <w:r>
              <w:rPr>
                <w:color w:val="000000"/>
                <w:sz w:val="24"/>
              </w:rPr>
              <w:t>瘫痪，人员大量滞留，社会秩序混乱，对城市公共交通带来严重影响。</w:t>
            </w:r>
          </w:p>
        </w:tc>
        <w:tc>
          <w:tcPr>
            <w:tcW w:w="1675" w:type="dxa"/>
            <w:noWrap w:val="0"/>
            <w:vAlign w:val="center"/>
          </w:tcPr>
          <w:p>
            <w:pPr>
              <w:widowControl/>
              <w:spacing w:line="560" w:lineRule="exact"/>
              <w:ind w:left="-43" w:leftChars="-20" w:right="-43" w:rightChars="-20"/>
              <w:jc w:val="center"/>
              <w:rPr>
                <w:rFonts w:hint="eastAsia"/>
                <w:color w:val="000000"/>
                <w:sz w:val="24"/>
              </w:rPr>
            </w:pPr>
            <w:r>
              <w:rPr>
                <w:color w:val="000000"/>
                <w:sz w:val="24"/>
              </w:rPr>
              <w:t>交运</w:t>
            </w:r>
            <w:r>
              <w:rPr>
                <w:rFonts w:hint="eastAsia"/>
                <w:color w:val="000000"/>
                <w:sz w:val="24"/>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318" w:hRule="atLeast"/>
          <w:jc w:val="center"/>
        </w:trPr>
        <w:tc>
          <w:tcPr>
            <w:tcW w:w="496" w:type="dxa"/>
            <w:noWrap w:val="0"/>
            <w:vAlign w:val="center"/>
          </w:tcPr>
          <w:p>
            <w:pPr>
              <w:widowControl/>
              <w:spacing w:line="560" w:lineRule="exact"/>
              <w:ind w:left="-43" w:leftChars="-20" w:right="-43" w:rightChars="-20"/>
              <w:jc w:val="center"/>
              <w:rPr>
                <w:color w:val="000000"/>
                <w:sz w:val="24"/>
              </w:rPr>
            </w:pPr>
            <w:r>
              <w:rPr>
                <w:color w:val="000000"/>
                <w:sz w:val="24"/>
              </w:rPr>
              <w:t>2</w:t>
            </w:r>
          </w:p>
        </w:tc>
        <w:tc>
          <w:tcPr>
            <w:tcW w:w="1287" w:type="dxa"/>
            <w:noWrap w:val="0"/>
            <w:vAlign w:val="center"/>
          </w:tcPr>
          <w:p>
            <w:pPr>
              <w:widowControl/>
              <w:spacing w:line="560" w:lineRule="exact"/>
              <w:ind w:left="-43" w:leftChars="-20" w:right="-43" w:rightChars="-20"/>
              <w:jc w:val="center"/>
              <w:rPr>
                <w:color w:val="000000"/>
                <w:sz w:val="24"/>
              </w:rPr>
            </w:pPr>
            <w:r>
              <w:rPr>
                <w:color w:val="000000"/>
                <w:sz w:val="24"/>
              </w:rPr>
              <w:t>铁路运输</w:t>
            </w:r>
          </w:p>
        </w:tc>
        <w:tc>
          <w:tcPr>
            <w:tcW w:w="6360" w:type="dxa"/>
            <w:noWrap w:val="0"/>
            <w:vAlign w:val="center"/>
          </w:tcPr>
          <w:p>
            <w:pPr>
              <w:widowControl/>
              <w:spacing w:line="560" w:lineRule="exact"/>
              <w:ind w:left="-43" w:leftChars="-20" w:right="-43" w:rightChars="-20"/>
              <w:rPr>
                <w:color w:val="000000"/>
                <w:sz w:val="24"/>
              </w:rPr>
            </w:pPr>
            <w:r>
              <w:rPr>
                <w:color w:val="000000"/>
                <w:sz w:val="24"/>
              </w:rPr>
              <w:t>大面积停电将</w:t>
            </w:r>
            <w:r>
              <w:rPr>
                <w:rFonts w:hint="eastAsia"/>
                <w:color w:val="000000"/>
                <w:sz w:val="24"/>
              </w:rPr>
              <w:t>对铁路牵引站、信号系统和运行中的高铁、电气化机车等造成重大影响，引发相关区域内电气化铁路大范围运行困难和障碍</w:t>
            </w:r>
            <w:r>
              <w:rPr>
                <w:color w:val="000000"/>
                <w:sz w:val="24"/>
              </w:rPr>
              <w:t>。</w:t>
            </w:r>
          </w:p>
        </w:tc>
        <w:tc>
          <w:tcPr>
            <w:tcW w:w="1675" w:type="dxa"/>
            <w:noWrap w:val="0"/>
            <w:vAlign w:val="center"/>
          </w:tcPr>
          <w:p>
            <w:pPr>
              <w:widowControl/>
              <w:spacing w:line="560" w:lineRule="exact"/>
              <w:ind w:left="-43" w:leftChars="-20" w:right="-43" w:rightChars="-20"/>
              <w:jc w:val="center"/>
              <w:rPr>
                <w:rFonts w:hint="eastAsia" w:eastAsia="宋体"/>
                <w:color w:val="000000"/>
                <w:sz w:val="24"/>
                <w:lang w:eastAsia="zh-CN"/>
              </w:rPr>
            </w:pPr>
            <w:r>
              <w:rPr>
                <w:rFonts w:hint="eastAsia"/>
                <w:sz w:val="24"/>
                <w:lang w:eastAsia="zh-CN"/>
              </w:rPr>
              <w:t>火车站、高铁站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208" w:hRule="atLeast"/>
          <w:jc w:val="center"/>
        </w:trPr>
        <w:tc>
          <w:tcPr>
            <w:tcW w:w="496" w:type="dxa"/>
            <w:noWrap w:val="0"/>
            <w:vAlign w:val="center"/>
          </w:tcPr>
          <w:p>
            <w:pPr>
              <w:widowControl/>
              <w:spacing w:line="560" w:lineRule="exact"/>
              <w:ind w:left="-43" w:leftChars="-20" w:right="-43" w:rightChars="-20"/>
              <w:jc w:val="center"/>
              <w:rPr>
                <w:rFonts w:hint="eastAsia"/>
                <w:color w:val="000000"/>
                <w:sz w:val="24"/>
              </w:rPr>
            </w:pPr>
            <w:r>
              <w:rPr>
                <w:rFonts w:hint="eastAsia"/>
                <w:color w:val="000000"/>
                <w:sz w:val="24"/>
              </w:rPr>
              <w:t>3</w:t>
            </w:r>
          </w:p>
        </w:tc>
        <w:tc>
          <w:tcPr>
            <w:tcW w:w="1287" w:type="dxa"/>
            <w:noWrap w:val="0"/>
            <w:vAlign w:val="center"/>
          </w:tcPr>
          <w:p>
            <w:pPr>
              <w:widowControl/>
              <w:spacing w:line="560" w:lineRule="exact"/>
              <w:ind w:left="-43" w:leftChars="-20" w:right="-43" w:rightChars="-20"/>
              <w:jc w:val="center"/>
              <w:rPr>
                <w:color w:val="000000"/>
                <w:sz w:val="24"/>
              </w:rPr>
            </w:pPr>
            <w:r>
              <w:rPr>
                <w:color w:val="000000"/>
                <w:sz w:val="24"/>
              </w:rPr>
              <w:t>党政机关</w:t>
            </w:r>
          </w:p>
        </w:tc>
        <w:tc>
          <w:tcPr>
            <w:tcW w:w="6360" w:type="dxa"/>
            <w:noWrap w:val="0"/>
            <w:vAlign w:val="center"/>
          </w:tcPr>
          <w:p>
            <w:pPr>
              <w:widowControl/>
              <w:spacing w:line="560" w:lineRule="exact"/>
              <w:ind w:left="-43" w:leftChars="-20" w:right="-43" w:rightChars="-20"/>
              <w:rPr>
                <w:color w:val="000000"/>
                <w:sz w:val="24"/>
              </w:rPr>
            </w:pPr>
            <w:r>
              <w:rPr>
                <w:color w:val="000000"/>
                <w:sz w:val="24"/>
              </w:rPr>
              <w:t>停电</w:t>
            </w:r>
            <w:r>
              <w:rPr>
                <w:rFonts w:hint="eastAsia"/>
                <w:color w:val="000000"/>
                <w:sz w:val="24"/>
              </w:rPr>
              <w:t>可能对政府机关正常工作产生严重干扰，对会议系统、值班系统以及各类需要电力支持的档案系统、工作系统等产生较大影响。</w:t>
            </w:r>
          </w:p>
        </w:tc>
        <w:tc>
          <w:tcPr>
            <w:tcW w:w="1675" w:type="dxa"/>
            <w:noWrap w:val="0"/>
            <w:vAlign w:val="center"/>
          </w:tcPr>
          <w:p>
            <w:pPr>
              <w:widowControl/>
              <w:spacing w:line="560" w:lineRule="exact"/>
              <w:ind w:left="-43" w:leftChars="-20" w:right="-43" w:rightChars="-20"/>
              <w:jc w:val="center"/>
              <w:rPr>
                <w:color w:val="000000"/>
                <w:sz w:val="24"/>
              </w:rPr>
            </w:pPr>
            <w:r>
              <w:rPr>
                <w:color w:val="000000"/>
                <w:sz w:val="24"/>
              </w:rPr>
              <w:t>各</w:t>
            </w:r>
            <w:r>
              <w:rPr>
                <w:rFonts w:hint="eastAsia"/>
                <w:color w:val="000000"/>
                <w:sz w:val="24"/>
                <w:lang w:eastAsia="zh-CN"/>
              </w:rPr>
              <w:t>行政</w:t>
            </w:r>
            <w:r>
              <w:rPr>
                <w:color w:val="000000"/>
                <w:sz w:val="24"/>
              </w:rPr>
              <w:t>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496" w:type="dxa"/>
            <w:noWrap w:val="0"/>
            <w:vAlign w:val="center"/>
          </w:tcPr>
          <w:p>
            <w:pPr>
              <w:widowControl/>
              <w:spacing w:line="560" w:lineRule="exact"/>
              <w:ind w:left="-43" w:leftChars="-20" w:right="-43" w:rightChars="-20"/>
              <w:jc w:val="center"/>
              <w:rPr>
                <w:rFonts w:hint="eastAsia"/>
                <w:color w:val="000000"/>
                <w:sz w:val="24"/>
              </w:rPr>
            </w:pPr>
            <w:r>
              <w:rPr>
                <w:rFonts w:hint="eastAsia"/>
                <w:color w:val="000000"/>
                <w:sz w:val="24"/>
              </w:rPr>
              <w:t>4</w:t>
            </w:r>
          </w:p>
        </w:tc>
        <w:tc>
          <w:tcPr>
            <w:tcW w:w="1287" w:type="dxa"/>
            <w:noWrap w:val="0"/>
            <w:vAlign w:val="center"/>
          </w:tcPr>
          <w:p>
            <w:pPr>
              <w:widowControl/>
              <w:spacing w:line="560" w:lineRule="exact"/>
              <w:ind w:left="-43" w:leftChars="-20" w:right="-43" w:rightChars="-20"/>
              <w:jc w:val="center"/>
              <w:rPr>
                <w:color w:val="000000"/>
                <w:sz w:val="24"/>
              </w:rPr>
            </w:pPr>
            <w:r>
              <w:rPr>
                <w:color w:val="000000"/>
                <w:sz w:val="24"/>
              </w:rPr>
              <w:t>人员密集区域</w:t>
            </w:r>
          </w:p>
        </w:tc>
        <w:tc>
          <w:tcPr>
            <w:tcW w:w="6360" w:type="dxa"/>
            <w:noWrap w:val="0"/>
            <w:vAlign w:val="center"/>
          </w:tcPr>
          <w:p>
            <w:pPr>
              <w:widowControl/>
              <w:spacing w:line="560" w:lineRule="exact"/>
              <w:ind w:left="-43" w:leftChars="-20" w:right="-43" w:rightChars="-20"/>
              <w:rPr>
                <w:color w:val="000000"/>
                <w:sz w:val="24"/>
              </w:rPr>
            </w:pPr>
            <w:r>
              <w:rPr>
                <w:color w:val="000000"/>
                <w:sz w:val="24"/>
              </w:rPr>
              <w:t>大面积停电极易导致学校、商场、</w:t>
            </w:r>
            <w:r>
              <w:rPr>
                <w:rFonts w:hint="eastAsia"/>
                <w:color w:val="000000"/>
                <w:sz w:val="24"/>
                <w:lang w:eastAsia="zh-CN"/>
              </w:rPr>
              <w:t>影院</w:t>
            </w:r>
            <w:r>
              <w:rPr>
                <w:color w:val="000000"/>
                <w:sz w:val="24"/>
              </w:rPr>
              <w:t>等人员密集区域现场秩序混乱，</w:t>
            </w:r>
            <w:r>
              <w:rPr>
                <w:rFonts w:hint="eastAsia"/>
                <w:color w:val="000000"/>
                <w:sz w:val="24"/>
              </w:rPr>
              <w:t>因</w:t>
            </w:r>
            <w:r>
              <w:rPr>
                <w:color w:val="000000"/>
                <w:sz w:val="24"/>
              </w:rPr>
              <w:t>失去照明电源，人员疏散撤离很容易出现混乱，极易发生踩踏等安全事故</w:t>
            </w:r>
            <w:r>
              <w:rPr>
                <w:rFonts w:hint="eastAsia"/>
                <w:color w:val="000000"/>
                <w:sz w:val="24"/>
              </w:rPr>
              <w:t>；停电对天网等公共场所视频监控系统产生较大影响，导致停电区域治安难度加大。</w:t>
            </w:r>
          </w:p>
        </w:tc>
        <w:tc>
          <w:tcPr>
            <w:tcW w:w="1675" w:type="dxa"/>
            <w:noWrap w:val="0"/>
            <w:vAlign w:val="center"/>
          </w:tcPr>
          <w:p>
            <w:pPr>
              <w:widowControl/>
              <w:spacing w:line="560" w:lineRule="exact"/>
              <w:ind w:left="-43" w:leftChars="-20" w:right="-43" w:rightChars="-20"/>
              <w:jc w:val="center"/>
              <w:rPr>
                <w:color w:val="000000"/>
                <w:sz w:val="24"/>
              </w:rPr>
            </w:pPr>
            <w:r>
              <w:rPr>
                <w:color w:val="000000"/>
                <w:sz w:val="24"/>
              </w:rPr>
              <w:t>学校、商场</w:t>
            </w:r>
            <w:r>
              <w:rPr>
                <w:rFonts w:hint="eastAsia"/>
                <w:color w:val="000000"/>
                <w:sz w:val="24"/>
                <w:lang w:eastAsia="zh-CN"/>
              </w:rPr>
              <w:t>、影院</w:t>
            </w:r>
            <w:r>
              <w:rPr>
                <w:color w:val="000000"/>
                <w:sz w:val="24"/>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365" w:hRule="atLeast"/>
          <w:jc w:val="center"/>
        </w:trPr>
        <w:tc>
          <w:tcPr>
            <w:tcW w:w="496" w:type="dxa"/>
            <w:noWrap w:val="0"/>
            <w:vAlign w:val="center"/>
          </w:tcPr>
          <w:p>
            <w:pPr>
              <w:widowControl/>
              <w:spacing w:line="560" w:lineRule="exact"/>
              <w:ind w:left="-43" w:leftChars="-20" w:right="-43" w:rightChars="-20"/>
              <w:jc w:val="center"/>
              <w:rPr>
                <w:rFonts w:hint="eastAsia"/>
                <w:color w:val="000000"/>
                <w:sz w:val="24"/>
              </w:rPr>
            </w:pPr>
            <w:r>
              <w:rPr>
                <w:rFonts w:hint="eastAsia"/>
                <w:color w:val="000000"/>
                <w:sz w:val="24"/>
              </w:rPr>
              <w:t>5</w:t>
            </w:r>
          </w:p>
        </w:tc>
        <w:tc>
          <w:tcPr>
            <w:tcW w:w="1287" w:type="dxa"/>
            <w:noWrap w:val="0"/>
            <w:vAlign w:val="center"/>
          </w:tcPr>
          <w:p>
            <w:pPr>
              <w:widowControl/>
              <w:spacing w:line="560" w:lineRule="exact"/>
              <w:ind w:left="-43" w:leftChars="-20" w:right="-43" w:rightChars="-20"/>
              <w:jc w:val="center"/>
              <w:rPr>
                <w:color w:val="000000"/>
                <w:sz w:val="24"/>
              </w:rPr>
            </w:pPr>
            <w:r>
              <w:rPr>
                <w:color w:val="000000"/>
                <w:sz w:val="24"/>
              </w:rPr>
              <w:t>城市市政设施</w:t>
            </w:r>
          </w:p>
        </w:tc>
        <w:tc>
          <w:tcPr>
            <w:tcW w:w="6360" w:type="dxa"/>
            <w:noWrap w:val="0"/>
            <w:vAlign w:val="center"/>
          </w:tcPr>
          <w:p>
            <w:pPr>
              <w:widowControl/>
              <w:spacing w:line="560" w:lineRule="exact"/>
              <w:ind w:left="-43" w:leftChars="-20" w:right="-43" w:rightChars="-20"/>
              <w:rPr>
                <w:color w:val="000000"/>
                <w:sz w:val="24"/>
              </w:rPr>
            </w:pPr>
            <w:r>
              <w:rPr>
                <w:color w:val="000000"/>
                <w:sz w:val="24"/>
              </w:rPr>
              <w:t>大面积停电对城市</w:t>
            </w:r>
            <w:r>
              <w:rPr>
                <w:rFonts w:hint="eastAsia"/>
                <w:color w:val="000000"/>
                <w:sz w:val="24"/>
                <w:lang w:eastAsia="zh-CN"/>
              </w:rPr>
              <w:t>道路照明、排水设施、人防工程</w:t>
            </w:r>
            <w:r>
              <w:rPr>
                <w:color w:val="000000"/>
                <w:sz w:val="24"/>
              </w:rPr>
              <w:t>等市政设施的正常运营造成较大影响。</w:t>
            </w:r>
          </w:p>
        </w:tc>
        <w:tc>
          <w:tcPr>
            <w:tcW w:w="1675" w:type="dxa"/>
            <w:noWrap w:val="0"/>
            <w:vAlign w:val="center"/>
          </w:tcPr>
          <w:p>
            <w:pPr>
              <w:widowControl/>
              <w:spacing w:line="560" w:lineRule="exact"/>
              <w:ind w:left="-43" w:leftChars="-20" w:right="-43" w:rightChars="-20"/>
              <w:jc w:val="center"/>
              <w:rPr>
                <w:rFonts w:hint="eastAsia" w:eastAsia="宋体"/>
                <w:color w:val="000000"/>
                <w:sz w:val="24"/>
                <w:lang w:eastAsia="zh-CN"/>
              </w:rPr>
            </w:pPr>
            <w:r>
              <w:rPr>
                <w:rFonts w:hint="eastAsia"/>
                <w:color w:val="000000"/>
                <w:sz w:val="24"/>
                <w:lang w:eastAsia="zh-CN"/>
              </w:rPr>
              <w:t>城管局、住建局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596" w:hRule="atLeast"/>
          <w:jc w:val="center"/>
        </w:trPr>
        <w:tc>
          <w:tcPr>
            <w:tcW w:w="496" w:type="dxa"/>
            <w:noWrap w:val="0"/>
            <w:vAlign w:val="center"/>
          </w:tcPr>
          <w:p>
            <w:pPr>
              <w:widowControl/>
              <w:spacing w:line="560" w:lineRule="exact"/>
              <w:ind w:left="-43" w:leftChars="-20" w:right="-43" w:rightChars="-20"/>
              <w:jc w:val="center"/>
              <w:rPr>
                <w:rFonts w:hint="eastAsia"/>
                <w:color w:val="000000"/>
                <w:sz w:val="24"/>
              </w:rPr>
            </w:pPr>
            <w:r>
              <w:rPr>
                <w:rFonts w:hint="eastAsia"/>
                <w:color w:val="000000"/>
                <w:sz w:val="24"/>
              </w:rPr>
              <w:t>6</w:t>
            </w:r>
          </w:p>
        </w:tc>
        <w:tc>
          <w:tcPr>
            <w:tcW w:w="1287" w:type="dxa"/>
            <w:noWrap w:val="0"/>
            <w:vAlign w:val="center"/>
          </w:tcPr>
          <w:p>
            <w:pPr>
              <w:widowControl/>
              <w:spacing w:line="560" w:lineRule="exact"/>
              <w:ind w:left="-43" w:leftChars="-20" w:right="-43" w:rightChars="-20"/>
              <w:jc w:val="center"/>
              <w:rPr>
                <w:color w:val="000000"/>
                <w:sz w:val="24"/>
              </w:rPr>
            </w:pPr>
            <w:r>
              <w:rPr>
                <w:color w:val="000000"/>
                <w:sz w:val="24"/>
              </w:rPr>
              <w:t>城市燃气供应</w:t>
            </w:r>
          </w:p>
        </w:tc>
        <w:tc>
          <w:tcPr>
            <w:tcW w:w="6360" w:type="dxa"/>
            <w:noWrap w:val="0"/>
            <w:vAlign w:val="center"/>
          </w:tcPr>
          <w:p>
            <w:pPr>
              <w:widowControl/>
              <w:spacing w:line="560" w:lineRule="exact"/>
              <w:ind w:left="-43" w:leftChars="-20" w:right="-43" w:rightChars="-20"/>
              <w:rPr>
                <w:color w:val="000000"/>
                <w:spacing w:val="-4"/>
                <w:sz w:val="24"/>
              </w:rPr>
            </w:pPr>
            <w:r>
              <w:rPr>
                <w:color w:val="000000"/>
                <w:spacing w:val="-4"/>
                <w:sz w:val="24"/>
              </w:rPr>
              <w:t>若发生全</w:t>
            </w:r>
            <w:r>
              <w:rPr>
                <w:rFonts w:hint="eastAsia"/>
                <w:color w:val="000000"/>
                <w:spacing w:val="-4"/>
                <w:sz w:val="24"/>
                <w:lang w:eastAsia="zh-CN"/>
              </w:rPr>
              <w:t>县</w:t>
            </w:r>
            <w:r>
              <w:rPr>
                <w:color w:val="000000"/>
                <w:spacing w:val="-4"/>
                <w:sz w:val="24"/>
              </w:rPr>
              <w:t>停电24小时以上，</w:t>
            </w:r>
            <w:r>
              <w:rPr>
                <w:rFonts w:hint="eastAsia"/>
                <w:color w:val="000000"/>
                <w:spacing w:val="-4"/>
                <w:sz w:val="24"/>
              </w:rPr>
              <w:t>将</w:t>
            </w:r>
            <w:r>
              <w:rPr>
                <w:color w:val="000000"/>
                <w:spacing w:val="-4"/>
                <w:sz w:val="24"/>
              </w:rPr>
              <w:t>对燃气供应产生较大影响。停电导致人工煤气</w:t>
            </w:r>
            <w:r>
              <w:rPr>
                <w:rFonts w:hint="eastAsia"/>
                <w:color w:val="000000"/>
                <w:spacing w:val="-4"/>
                <w:sz w:val="24"/>
              </w:rPr>
              <w:t>无</w:t>
            </w:r>
            <w:r>
              <w:rPr>
                <w:color w:val="000000"/>
                <w:spacing w:val="-4"/>
                <w:sz w:val="24"/>
              </w:rPr>
              <w:t>法正常生产；停电影响天然气管道安全运行；停电后无法对液化气罐进行灌装作业，从而影响液化气供应；停电后燃气企业正常的生产管理秩序遭到破坏，极易导致燃气泄漏、火烧、爆炸、中毒等衍生事故。</w:t>
            </w:r>
          </w:p>
        </w:tc>
        <w:tc>
          <w:tcPr>
            <w:tcW w:w="1675" w:type="dxa"/>
            <w:noWrap w:val="0"/>
            <w:vAlign w:val="center"/>
          </w:tcPr>
          <w:p>
            <w:pPr>
              <w:widowControl/>
              <w:spacing w:line="560" w:lineRule="exact"/>
              <w:ind w:left="-43" w:leftChars="-20" w:right="-43" w:rightChars="-20"/>
              <w:jc w:val="center"/>
              <w:rPr>
                <w:color w:val="000000"/>
                <w:sz w:val="24"/>
              </w:rPr>
            </w:pPr>
            <w:r>
              <w:rPr>
                <w:rFonts w:hint="eastAsia"/>
                <w:color w:val="000000"/>
                <w:sz w:val="24"/>
              </w:rPr>
              <w:t>华润</w:t>
            </w:r>
            <w:r>
              <w:rPr>
                <w:color w:val="000000"/>
                <w:sz w:val="24"/>
              </w:rPr>
              <w:t>燃气公司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09" w:hRule="atLeast"/>
          <w:jc w:val="center"/>
        </w:trPr>
        <w:tc>
          <w:tcPr>
            <w:tcW w:w="496" w:type="dxa"/>
            <w:noWrap w:val="0"/>
            <w:vAlign w:val="center"/>
          </w:tcPr>
          <w:p>
            <w:pPr>
              <w:widowControl/>
              <w:spacing w:line="560" w:lineRule="exact"/>
              <w:ind w:left="-43" w:leftChars="-20" w:right="-43" w:rightChars="-20"/>
              <w:jc w:val="center"/>
              <w:rPr>
                <w:rFonts w:hint="eastAsia"/>
                <w:color w:val="000000"/>
                <w:sz w:val="24"/>
              </w:rPr>
            </w:pPr>
            <w:r>
              <w:rPr>
                <w:rFonts w:hint="eastAsia"/>
                <w:color w:val="000000"/>
                <w:sz w:val="24"/>
              </w:rPr>
              <w:t>7</w:t>
            </w:r>
          </w:p>
        </w:tc>
        <w:tc>
          <w:tcPr>
            <w:tcW w:w="1287" w:type="dxa"/>
            <w:noWrap w:val="0"/>
            <w:vAlign w:val="center"/>
          </w:tcPr>
          <w:p>
            <w:pPr>
              <w:widowControl/>
              <w:spacing w:line="560" w:lineRule="exact"/>
              <w:ind w:left="-43" w:leftChars="-20" w:right="-43" w:rightChars="-20"/>
              <w:jc w:val="center"/>
              <w:rPr>
                <w:color w:val="000000"/>
                <w:sz w:val="24"/>
              </w:rPr>
            </w:pPr>
            <w:r>
              <w:rPr>
                <w:color w:val="000000"/>
                <w:sz w:val="24"/>
              </w:rPr>
              <w:t>城市供排水系统</w:t>
            </w:r>
          </w:p>
        </w:tc>
        <w:tc>
          <w:tcPr>
            <w:tcW w:w="6360" w:type="dxa"/>
            <w:noWrap w:val="0"/>
            <w:vAlign w:val="center"/>
          </w:tcPr>
          <w:p>
            <w:pPr>
              <w:widowControl/>
              <w:spacing w:line="560" w:lineRule="exact"/>
              <w:ind w:left="-43" w:leftChars="-20" w:right="-43" w:rightChars="-20"/>
              <w:rPr>
                <w:color w:val="000000"/>
                <w:sz w:val="24"/>
              </w:rPr>
            </w:pPr>
            <w:r>
              <w:rPr>
                <w:color w:val="000000"/>
                <w:sz w:val="24"/>
              </w:rPr>
              <w:t>大面积停电事件将对自来水厂及泵站的生产运行造成极大影响：供电系统故障将造成进水车间机泵无法启动；隔膜泵、蒸发机无法工作造成出水水质不合格；吸泥机、空压机无法工作，造成过滤系统不能正常工作等。停电后，排水系统将停止工作，严重影响居民正常生活；停电</w:t>
            </w:r>
            <w:r>
              <w:rPr>
                <w:rFonts w:hint="eastAsia"/>
                <w:color w:val="000000"/>
                <w:sz w:val="24"/>
              </w:rPr>
              <w:t>将</w:t>
            </w:r>
            <w:r>
              <w:rPr>
                <w:color w:val="000000"/>
                <w:sz w:val="24"/>
              </w:rPr>
              <w:t>造成污水处理厂停运，对周围环境造成影响。</w:t>
            </w:r>
          </w:p>
        </w:tc>
        <w:tc>
          <w:tcPr>
            <w:tcW w:w="1675" w:type="dxa"/>
            <w:noWrap w:val="0"/>
            <w:vAlign w:val="center"/>
          </w:tcPr>
          <w:p>
            <w:pPr>
              <w:widowControl/>
              <w:spacing w:line="560" w:lineRule="exact"/>
              <w:ind w:left="-43" w:leftChars="-20" w:right="-43" w:rightChars="-20"/>
              <w:jc w:val="center"/>
              <w:rPr>
                <w:rFonts w:hint="eastAsia" w:eastAsia="宋体"/>
                <w:color w:val="000000"/>
                <w:sz w:val="24"/>
                <w:lang w:eastAsia="zh-CN"/>
              </w:rPr>
            </w:pPr>
            <w:r>
              <w:rPr>
                <w:rFonts w:hint="eastAsia"/>
                <w:color w:val="000000"/>
                <w:sz w:val="24"/>
                <w:lang w:eastAsia="zh-CN"/>
              </w:rPr>
              <w:t>供水公司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018" w:hRule="atLeast"/>
          <w:jc w:val="center"/>
        </w:trPr>
        <w:tc>
          <w:tcPr>
            <w:tcW w:w="496" w:type="dxa"/>
            <w:noWrap w:val="0"/>
            <w:vAlign w:val="center"/>
          </w:tcPr>
          <w:p>
            <w:pPr>
              <w:widowControl/>
              <w:spacing w:line="560" w:lineRule="exact"/>
              <w:ind w:left="-43" w:leftChars="-20" w:right="-43" w:rightChars="-20"/>
              <w:jc w:val="center"/>
              <w:rPr>
                <w:rFonts w:hint="eastAsia"/>
                <w:color w:val="000000"/>
                <w:sz w:val="24"/>
              </w:rPr>
            </w:pPr>
            <w:r>
              <w:rPr>
                <w:rFonts w:hint="eastAsia"/>
                <w:color w:val="000000"/>
                <w:sz w:val="24"/>
              </w:rPr>
              <w:t>8</w:t>
            </w:r>
          </w:p>
        </w:tc>
        <w:tc>
          <w:tcPr>
            <w:tcW w:w="1287" w:type="dxa"/>
            <w:noWrap w:val="0"/>
            <w:vAlign w:val="center"/>
          </w:tcPr>
          <w:p>
            <w:pPr>
              <w:widowControl/>
              <w:spacing w:line="560" w:lineRule="exact"/>
              <w:ind w:left="-43" w:leftChars="-20" w:right="-43" w:rightChars="-20"/>
              <w:jc w:val="center"/>
              <w:rPr>
                <w:color w:val="000000"/>
                <w:sz w:val="24"/>
              </w:rPr>
            </w:pPr>
            <w:r>
              <w:rPr>
                <w:color w:val="000000"/>
                <w:sz w:val="24"/>
              </w:rPr>
              <w:t>城市工业生产系统</w:t>
            </w:r>
          </w:p>
        </w:tc>
        <w:tc>
          <w:tcPr>
            <w:tcW w:w="6360" w:type="dxa"/>
            <w:noWrap w:val="0"/>
            <w:vAlign w:val="center"/>
          </w:tcPr>
          <w:p>
            <w:pPr>
              <w:widowControl/>
              <w:spacing w:line="560" w:lineRule="exact"/>
              <w:ind w:left="-43" w:leftChars="-20" w:right="-43" w:rightChars="-20"/>
              <w:rPr>
                <w:color w:val="000000"/>
                <w:sz w:val="24"/>
              </w:rPr>
            </w:pPr>
            <w:r>
              <w:rPr>
                <w:color w:val="000000"/>
                <w:sz w:val="24"/>
              </w:rPr>
              <w:t>大面积停电将导致企业停产，易引发安全事故</w:t>
            </w:r>
            <w:r>
              <w:rPr>
                <w:rFonts w:hint="eastAsia"/>
                <w:color w:val="000000"/>
                <w:sz w:val="24"/>
              </w:rPr>
              <w:t>，造成经济损失及</w:t>
            </w:r>
            <w:r>
              <w:rPr>
                <w:color w:val="000000"/>
                <w:sz w:val="24"/>
              </w:rPr>
              <w:t>人员伤害、火灾、重大环境污染等事故和灾害。</w:t>
            </w:r>
          </w:p>
        </w:tc>
        <w:tc>
          <w:tcPr>
            <w:tcW w:w="1675" w:type="dxa"/>
            <w:noWrap w:val="0"/>
            <w:vAlign w:val="center"/>
          </w:tcPr>
          <w:p>
            <w:pPr>
              <w:widowControl/>
              <w:spacing w:line="560" w:lineRule="exact"/>
              <w:ind w:left="-43" w:leftChars="-20" w:right="-43" w:rightChars="-20"/>
              <w:jc w:val="center"/>
              <w:rPr>
                <w:color w:val="000000"/>
                <w:sz w:val="24"/>
              </w:rPr>
            </w:pPr>
            <w:r>
              <w:rPr>
                <w:color w:val="000000"/>
                <w:sz w:val="24"/>
              </w:rPr>
              <w:t>各重要企业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388" w:hRule="atLeast"/>
          <w:jc w:val="center"/>
        </w:trPr>
        <w:tc>
          <w:tcPr>
            <w:tcW w:w="496" w:type="dxa"/>
            <w:noWrap w:val="0"/>
            <w:vAlign w:val="center"/>
          </w:tcPr>
          <w:p>
            <w:pPr>
              <w:widowControl/>
              <w:spacing w:line="560" w:lineRule="exact"/>
              <w:ind w:left="-43" w:leftChars="-20" w:right="-43" w:rightChars="-20"/>
              <w:jc w:val="center"/>
              <w:rPr>
                <w:rFonts w:hint="eastAsia"/>
                <w:color w:val="000000"/>
                <w:sz w:val="24"/>
              </w:rPr>
            </w:pPr>
            <w:r>
              <w:rPr>
                <w:rFonts w:hint="eastAsia"/>
                <w:color w:val="000000"/>
                <w:sz w:val="24"/>
              </w:rPr>
              <w:t>9</w:t>
            </w:r>
          </w:p>
        </w:tc>
        <w:tc>
          <w:tcPr>
            <w:tcW w:w="1287" w:type="dxa"/>
            <w:noWrap w:val="0"/>
            <w:vAlign w:val="center"/>
          </w:tcPr>
          <w:p>
            <w:pPr>
              <w:widowControl/>
              <w:spacing w:line="560" w:lineRule="exact"/>
              <w:ind w:left="-43" w:leftChars="-20" w:right="-43" w:rightChars="-20"/>
              <w:jc w:val="center"/>
              <w:rPr>
                <w:color w:val="000000"/>
                <w:sz w:val="24"/>
              </w:rPr>
            </w:pPr>
            <w:r>
              <w:rPr>
                <w:color w:val="000000"/>
                <w:sz w:val="24"/>
              </w:rPr>
              <w:t>城市广播电视系统</w:t>
            </w:r>
          </w:p>
        </w:tc>
        <w:tc>
          <w:tcPr>
            <w:tcW w:w="6360" w:type="dxa"/>
            <w:noWrap w:val="0"/>
            <w:vAlign w:val="center"/>
          </w:tcPr>
          <w:p>
            <w:pPr>
              <w:widowControl/>
              <w:spacing w:line="560" w:lineRule="exact"/>
              <w:ind w:left="-43" w:leftChars="-20" w:right="-43" w:rightChars="-20"/>
              <w:rPr>
                <w:color w:val="000000"/>
                <w:sz w:val="24"/>
              </w:rPr>
            </w:pPr>
            <w:r>
              <w:rPr>
                <w:color w:val="000000"/>
                <w:sz w:val="24"/>
              </w:rPr>
              <w:t>大面积停电对广播、数字电视、有线电视影响较大。在紧急情况下，上述媒体是政府发布应急信息的重要平台，一旦停播影响较大</w:t>
            </w:r>
            <w:r>
              <w:rPr>
                <w:rFonts w:hint="eastAsia"/>
                <w:color w:val="000000"/>
                <w:sz w:val="24"/>
              </w:rPr>
              <w:t>，</w:t>
            </w:r>
            <w:r>
              <w:rPr>
                <w:color w:val="000000"/>
                <w:sz w:val="24"/>
              </w:rPr>
              <w:t>后果较为严重。</w:t>
            </w:r>
          </w:p>
        </w:tc>
        <w:tc>
          <w:tcPr>
            <w:tcW w:w="1675" w:type="dxa"/>
            <w:noWrap w:val="0"/>
            <w:vAlign w:val="center"/>
          </w:tcPr>
          <w:p>
            <w:pPr>
              <w:widowControl/>
              <w:spacing w:line="560" w:lineRule="exact"/>
              <w:ind w:left="-43" w:leftChars="-20" w:right="-43" w:rightChars="-20"/>
              <w:jc w:val="center"/>
              <w:rPr>
                <w:rFonts w:hint="eastAsia" w:eastAsia="宋体"/>
                <w:color w:val="000000"/>
                <w:sz w:val="24"/>
                <w:lang w:eastAsia="zh-CN"/>
              </w:rPr>
            </w:pPr>
            <w:r>
              <w:rPr>
                <w:rFonts w:hint="eastAsia"/>
                <w:color w:val="000000"/>
                <w:sz w:val="24"/>
                <w:lang w:eastAsia="zh-CN"/>
              </w:rPr>
              <w:t>广播电视台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340" w:hRule="atLeast"/>
          <w:jc w:val="center"/>
        </w:trPr>
        <w:tc>
          <w:tcPr>
            <w:tcW w:w="496" w:type="dxa"/>
            <w:noWrap w:val="0"/>
            <w:vAlign w:val="center"/>
          </w:tcPr>
          <w:p>
            <w:pPr>
              <w:widowControl/>
              <w:spacing w:line="560" w:lineRule="exact"/>
              <w:ind w:left="-43" w:leftChars="-20" w:right="-43" w:rightChars="-20"/>
              <w:jc w:val="center"/>
              <w:rPr>
                <w:rFonts w:hint="eastAsia"/>
                <w:color w:val="000000"/>
                <w:sz w:val="24"/>
              </w:rPr>
            </w:pPr>
            <w:r>
              <w:rPr>
                <w:color w:val="000000"/>
                <w:sz w:val="24"/>
              </w:rPr>
              <w:t>1</w:t>
            </w:r>
            <w:r>
              <w:rPr>
                <w:rFonts w:hint="eastAsia"/>
                <w:color w:val="000000"/>
                <w:sz w:val="24"/>
              </w:rPr>
              <w:t>0</w:t>
            </w:r>
          </w:p>
        </w:tc>
        <w:tc>
          <w:tcPr>
            <w:tcW w:w="1287" w:type="dxa"/>
            <w:noWrap w:val="0"/>
            <w:vAlign w:val="center"/>
          </w:tcPr>
          <w:p>
            <w:pPr>
              <w:widowControl/>
              <w:spacing w:line="560" w:lineRule="exact"/>
              <w:ind w:left="-43" w:leftChars="-20" w:right="-43" w:rightChars="-20"/>
              <w:jc w:val="center"/>
              <w:rPr>
                <w:color w:val="000000"/>
                <w:sz w:val="24"/>
              </w:rPr>
            </w:pPr>
            <w:r>
              <w:rPr>
                <w:color w:val="000000"/>
                <w:sz w:val="24"/>
              </w:rPr>
              <w:t>城市医疗卫生系统</w:t>
            </w:r>
          </w:p>
        </w:tc>
        <w:tc>
          <w:tcPr>
            <w:tcW w:w="6360" w:type="dxa"/>
            <w:noWrap w:val="0"/>
            <w:vAlign w:val="center"/>
          </w:tcPr>
          <w:p>
            <w:pPr>
              <w:widowControl/>
              <w:spacing w:line="560" w:lineRule="exact"/>
              <w:ind w:left="-43" w:leftChars="-20" w:right="-43" w:rightChars="-20"/>
              <w:rPr>
                <w:color w:val="000000"/>
                <w:sz w:val="24"/>
              </w:rPr>
            </w:pPr>
            <w:r>
              <w:rPr>
                <w:rFonts w:hint="eastAsia"/>
                <w:color w:val="000000"/>
                <w:sz w:val="24"/>
              </w:rPr>
              <w:t>停电将对各类需要电力支持的医疗设备、手术照明、手术装置、检测化验设备、收费系统、信息机房等产生重大影响。</w:t>
            </w:r>
          </w:p>
        </w:tc>
        <w:tc>
          <w:tcPr>
            <w:tcW w:w="1675" w:type="dxa"/>
            <w:noWrap w:val="0"/>
            <w:vAlign w:val="center"/>
          </w:tcPr>
          <w:p>
            <w:pPr>
              <w:widowControl/>
              <w:spacing w:line="560" w:lineRule="exact"/>
              <w:ind w:left="-43" w:leftChars="-20" w:right="-43" w:rightChars="-20"/>
              <w:jc w:val="center"/>
              <w:rPr>
                <w:rFonts w:hint="eastAsia" w:eastAsia="宋体"/>
                <w:color w:val="000000"/>
                <w:sz w:val="24"/>
                <w:lang w:eastAsia="zh-CN"/>
              </w:rPr>
            </w:pPr>
            <w:r>
              <w:rPr>
                <w:color w:val="000000"/>
                <w:sz w:val="24"/>
              </w:rPr>
              <w:t>各</w:t>
            </w:r>
            <w:r>
              <w:rPr>
                <w:rFonts w:hint="eastAsia"/>
                <w:color w:val="000000"/>
                <w:sz w:val="24"/>
                <w:lang w:eastAsia="zh-CN"/>
              </w:rPr>
              <w:t>医疗机构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682" w:hRule="atLeast"/>
          <w:jc w:val="center"/>
        </w:trPr>
        <w:tc>
          <w:tcPr>
            <w:tcW w:w="496" w:type="dxa"/>
            <w:noWrap w:val="0"/>
            <w:vAlign w:val="center"/>
          </w:tcPr>
          <w:p>
            <w:pPr>
              <w:widowControl/>
              <w:spacing w:line="560" w:lineRule="exact"/>
              <w:ind w:left="-43" w:leftChars="-20" w:right="-43" w:rightChars="-20"/>
              <w:jc w:val="center"/>
              <w:rPr>
                <w:rFonts w:hint="eastAsia"/>
                <w:color w:val="000000"/>
                <w:sz w:val="24"/>
              </w:rPr>
            </w:pPr>
            <w:r>
              <w:rPr>
                <w:color w:val="000000"/>
                <w:sz w:val="24"/>
              </w:rPr>
              <w:t>1</w:t>
            </w:r>
            <w:r>
              <w:rPr>
                <w:rFonts w:hint="eastAsia"/>
                <w:color w:val="000000"/>
                <w:sz w:val="24"/>
              </w:rPr>
              <w:t>1</w:t>
            </w:r>
          </w:p>
        </w:tc>
        <w:tc>
          <w:tcPr>
            <w:tcW w:w="1287" w:type="dxa"/>
            <w:noWrap w:val="0"/>
            <w:vAlign w:val="center"/>
          </w:tcPr>
          <w:p>
            <w:pPr>
              <w:widowControl/>
              <w:spacing w:line="560" w:lineRule="exact"/>
              <w:ind w:left="-43" w:leftChars="-20" w:right="-43" w:rightChars="-20"/>
              <w:jc w:val="center"/>
              <w:rPr>
                <w:color w:val="000000"/>
                <w:sz w:val="24"/>
              </w:rPr>
            </w:pPr>
            <w:r>
              <w:rPr>
                <w:color w:val="000000"/>
                <w:sz w:val="24"/>
              </w:rPr>
              <w:t>城市环境卫生系统</w:t>
            </w:r>
          </w:p>
        </w:tc>
        <w:tc>
          <w:tcPr>
            <w:tcW w:w="6360" w:type="dxa"/>
            <w:noWrap w:val="0"/>
            <w:vAlign w:val="center"/>
          </w:tcPr>
          <w:p>
            <w:pPr>
              <w:widowControl/>
              <w:spacing w:line="560" w:lineRule="exact"/>
              <w:ind w:left="-43" w:leftChars="-20" w:right="-43" w:rightChars="-20"/>
              <w:rPr>
                <w:color w:val="000000"/>
                <w:sz w:val="24"/>
              </w:rPr>
            </w:pPr>
            <w:r>
              <w:rPr>
                <w:color w:val="000000"/>
                <w:sz w:val="24"/>
              </w:rPr>
              <w:t>大面积停电将影响小型生活垃圾压缩站、中转站，以及生活垃圾综合处理厂的运行</w:t>
            </w:r>
            <w:r>
              <w:rPr>
                <w:rFonts w:hint="eastAsia"/>
                <w:color w:val="000000"/>
                <w:sz w:val="24"/>
              </w:rPr>
              <w:t>，</w:t>
            </w:r>
            <w:r>
              <w:rPr>
                <w:color w:val="000000"/>
                <w:sz w:val="24"/>
              </w:rPr>
              <w:t>给居民日常生活带来极大</w:t>
            </w:r>
            <w:r>
              <w:rPr>
                <w:rFonts w:hint="eastAsia"/>
                <w:color w:val="000000"/>
                <w:sz w:val="24"/>
              </w:rPr>
              <w:t>不便</w:t>
            </w:r>
            <w:r>
              <w:rPr>
                <w:color w:val="000000"/>
                <w:sz w:val="24"/>
              </w:rPr>
              <w:t>，</w:t>
            </w:r>
            <w:r>
              <w:rPr>
                <w:rFonts w:hint="eastAsia"/>
                <w:color w:val="000000"/>
                <w:sz w:val="24"/>
              </w:rPr>
              <w:t>也给卫生防疫带来很大压力</w:t>
            </w:r>
            <w:r>
              <w:rPr>
                <w:color w:val="000000"/>
                <w:sz w:val="24"/>
              </w:rPr>
              <w:t>。</w:t>
            </w:r>
          </w:p>
        </w:tc>
        <w:tc>
          <w:tcPr>
            <w:tcW w:w="1675" w:type="dxa"/>
            <w:noWrap w:val="0"/>
            <w:vAlign w:val="center"/>
          </w:tcPr>
          <w:p>
            <w:pPr>
              <w:widowControl/>
              <w:spacing w:line="560" w:lineRule="exact"/>
              <w:ind w:left="-43" w:leftChars="-20" w:right="-43" w:rightChars="-20"/>
              <w:jc w:val="center"/>
              <w:rPr>
                <w:rFonts w:hint="eastAsia" w:eastAsia="宋体"/>
                <w:color w:val="000000"/>
                <w:sz w:val="24"/>
                <w:lang w:eastAsia="zh-CN"/>
              </w:rPr>
            </w:pPr>
            <w:r>
              <w:rPr>
                <w:rFonts w:hint="eastAsia"/>
                <w:color w:val="000000"/>
                <w:sz w:val="24"/>
                <w:lang w:eastAsia="zh-CN"/>
              </w:rPr>
              <w:t>城管局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202" w:hRule="atLeast"/>
          <w:jc w:val="center"/>
        </w:trPr>
        <w:tc>
          <w:tcPr>
            <w:tcW w:w="496" w:type="dxa"/>
            <w:noWrap w:val="0"/>
            <w:vAlign w:val="center"/>
          </w:tcPr>
          <w:p>
            <w:pPr>
              <w:widowControl/>
              <w:spacing w:line="560" w:lineRule="exact"/>
              <w:ind w:left="-43" w:leftChars="-20" w:right="-43" w:rightChars="-20"/>
              <w:jc w:val="center"/>
              <w:rPr>
                <w:rFonts w:hint="eastAsia"/>
                <w:color w:val="000000"/>
                <w:sz w:val="24"/>
              </w:rPr>
            </w:pPr>
            <w:r>
              <w:rPr>
                <w:color w:val="000000"/>
                <w:sz w:val="24"/>
              </w:rPr>
              <w:t>1</w:t>
            </w:r>
            <w:r>
              <w:rPr>
                <w:rFonts w:hint="eastAsia"/>
                <w:color w:val="000000"/>
                <w:sz w:val="24"/>
              </w:rPr>
              <w:t>2</w:t>
            </w:r>
          </w:p>
        </w:tc>
        <w:tc>
          <w:tcPr>
            <w:tcW w:w="1287" w:type="dxa"/>
            <w:noWrap w:val="0"/>
            <w:vAlign w:val="center"/>
          </w:tcPr>
          <w:p>
            <w:pPr>
              <w:widowControl/>
              <w:spacing w:line="560" w:lineRule="exact"/>
              <w:ind w:left="-43" w:leftChars="-20" w:right="-43" w:rightChars="-20"/>
              <w:jc w:val="center"/>
              <w:rPr>
                <w:color w:val="000000"/>
                <w:sz w:val="24"/>
              </w:rPr>
            </w:pPr>
            <w:r>
              <w:rPr>
                <w:color w:val="000000"/>
                <w:sz w:val="24"/>
              </w:rPr>
              <w:t>城市金融系统</w:t>
            </w:r>
          </w:p>
        </w:tc>
        <w:tc>
          <w:tcPr>
            <w:tcW w:w="6360" w:type="dxa"/>
            <w:noWrap w:val="0"/>
            <w:vAlign w:val="center"/>
          </w:tcPr>
          <w:p>
            <w:pPr>
              <w:widowControl/>
              <w:spacing w:line="560" w:lineRule="exact"/>
              <w:ind w:left="-43" w:leftChars="-20" w:right="-43" w:rightChars="-20"/>
              <w:rPr>
                <w:color w:val="000000"/>
                <w:sz w:val="24"/>
              </w:rPr>
            </w:pPr>
            <w:r>
              <w:rPr>
                <w:color w:val="000000"/>
                <w:sz w:val="24"/>
              </w:rPr>
              <w:t>大面积停电后，金融</w:t>
            </w:r>
            <w:r>
              <w:rPr>
                <w:rFonts w:hint="eastAsia"/>
                <w:color w:val="000000"/>
                <w:sz w:val="24"/>
              </w:rPr>
              <w:t>机构</w:t>
            </w:r>
            <w:r>
              <w:rPr>
                <w:color w:val="000000"/>
                <w:sz w:val="24"/>
              </w:rPr>
              <w:t>的主机房及附属设备无法正常运行，极端情况下可能全面瘫痪，由此导致各交易系统全部中断；金融机构营业网点和ATM服务系统全部中断，金融秩序</w:t>
            </w:r>
            <w:r>
              <w:rPr>
                <w:rFonts w:hint="eastAsia"/>
                <w:color w:val="000000"/>
                <w:sz w:val="24"/>
              </w:rPr>
              <w:t>将</w:t>
            </w:r>
            <w:r>
              <w:rPr>
                <w:color w:val="000000"/>
                <w:sz w:val="24"/>
              </w:rPr>
              <w:t>受到严重冲击，极端情况下容易引发银行挤兑等影响社会稳定的重大事件。</w:t>
            </w:r>
          </w:p>
        </w:tc>
        <w:tc>
          <w:tcPr>
            <w:tcW w:w="1675" w:type="dxa"/>
            <w:noWrap w:val="0"/>
            <w:vAlign w:val="center"/>
          </w:tcPr>
          <w:p>
            <w:pPr>
              <w:widowControl/>
              <w:spacing w:line="560" w:lineRule="exact"/>
              <w:ind w:left="-43" w:leftChars="-20" w:right="-43" w:rightChars="-20"/>
              <w:jc w:val="center"/>
              <w:rPr>
                <w:rFonts w:hint="eastAsia" w:eastAsia="宋体"/>
                <w:color w:val="000000"/>
                <w:sz w:val="24"/>
                <w:lang w:eastAsia="zh-CN"/>
              </w:rPr>
            </w:pPr>
            <w:r>
              <w:rPr>
                <w:rFonts w:hint="eastAsia"/>
                <w:sz w:val="24"/>
                <w:lang w:val="en-US" w:eastAsia="zh-CN"/>
              </w:rPr>
              <w:t>县</w:t>
            </w:r>
            <w:r>
              <w:rPr>
                <w:sz w:val="24"/>
              </w:rPr>
              <w:t>地方金融监管局</w:t>
            </w:r>
            <w:r>
              <w:rPr>
                <w:rFonts w:hint="eastAsia"/>
                <w:sz w:val="24"/>
                <w:lang w:eastAsia="zh-CN"/>
              </w:rPr>
              <w:t>、银保监办、</w:t>
            </w:r>
            <w:r>
              <w:rPr>
                <w:sz w:val="24"/>
              </w:rPr>
              <w:t>人民银行</w:t>
            </w:r>
            <w:r>
              <w:rPr>
                <w:rFonts w:hint="eastAsia"/>
                <w:sz w:val="24"/>
              </w:rPr>
              <w:t>砀山</w:t>
            </w:r>
            <w:r>
              <w:rPr>
                <w:sz w:val="24"/>
              </w:rPr>
              <w:t>中心支行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555" w:hRule="atLeast"/>
          <w:jc w:val="center"/>
        </w:trPr>
        <w:tc>
          <w:tcPr>
            <w:tcW w:w="496" w:type="dxa"/>
            <w:noWrap w:val="0"/>
            <w:vAlign w:val="center"/>
          </w:tcPr>
          <w:p>
            <w:pPr>
              <w:widowControl/>
              <w:spacing w:line="560" w:lineRule="exact"/>
              <w:ind w:left="-43" w:leftChars="-20" w:right="-43" w:rightChars="-20"/>
              <w:jc w:val="center"/>
              <w:rPr>
                <w:color w:val="000000"/>
                <w:sz w:val="24"/>
              </w:rPr>
            </w:pPr>
            <w:r>
              <w:rPr>
                <w:rFonts w:hint="eastAsia"/>
                <w:color w:val="000000"/>
                <w:sz w:val="24"/>
              </w:rPr>
              <w:t>13</w:t>
            </w:r>
          </w:p>
        </w:tc>
        <w:tc>
          <w:tcPr>
            <w:tcW w:w="1287" w:type="dxa"/>
            <w:noWrap w:val="0"/>
            <w:vAlign w:val="center"/>
          </w:tcPr>
          <w:p>
            <w:pPr>
              <w:widowControl/>
              <w:spacing w:line="560" w:lineRule="exact"/>
              <w:ind w:left="-43" w:leftChars="-20" w:right="-43" w:rightChars="-20"/>
              <w:jc w:val="center"/>
              <w:rPr>
                <w:color w:val="000000"/>
                <w:sz w:val="24"/>
              </w:rPr>
            </w:pPr>
            <w:r>
              <w:rPr>
                <w:color w:val="000000"/>
                <w:sz w:val="24"/>
              </w:rPr>
              <w:t>城市通信系统</w:t>
            </w:r>
          </w:p>
        </w:tc>
        <w:tc>
          <w:tcPr>
            <w:tcW w:w="6360" w:type="dxa"/>
            <w:noWrap w:val="0"/>
            <w:vAlign w:val="center"/>
          </w:tcPr>
          <w:p>
            <w:pPr>
              <w:widowControl/>
              <w:spacing w:line="560" w:lineRule="exact"/>
              <w:ind w:left="-43" w:leftChars="-20" w:right="-43" w:rightChars="-20"/>
              <w:rPr>
                <w:color w:val="000000"/>
                <w:sz w:val="24"/>
              </w:rPr>
            </w:pPr>
            <w:r>
              <w:rPr>
                <w:rFonts w:hint="eastAsia"/>
                <w:color w:val="000000"/>
                <w:sz w:val="24"/>
              </w:rPr>
              <w:t>供电中断将对通信机房、基站正常运行产生重大影响，上述设备备用电源工作时间有限，长时间停电将导致城市通信系统全面瘫痪。</w:t>
            </w:r>
          </w:p>
        </w:tc>
        <w:tc>
          <w:tcPr>
            <w:tcW w:w="1675" w:type="dxa"/>
            <w:noWrap w:val="0"/>
            <w:vAlign w:val="center"/>
          </w:tcPr>
          <w:p>
            <w:pPr>
              <w:widowControl/>
              <w:spacing w:line="560" w:lineRule="exact"/>
              <w:ind w:left="-43" w:leftChars="-20" w:right="-43" w:rightChars="-20"/>
              <w:jc w:val="center"/>
              <w:rPr>
                <w:color w:val="000000"/>
                <w:sz w:val="24"/>
              </w:rPr>
            </w:pPr>
            <w:r>
              <w:rPr>
                <w:color w:val="000000"/>
                <w:sz w:val="24"/>
              </w:rPr>
              <w:t>电信</w:t>
            </w:r>
            <w:r>
              <w:rPr>
                <w:rFonts w:hint="eastAsia"/>
                <w:color w:val="000000"/>
                <w:sz w:val="24"/>
              </w:rPr>
              <w:t>公司</w:t>
            </w:r>
          </w:p>
          <w:p>
            <w:pPr>
              <w:widowControl/>
              <w:spacing w:line="560" w:lineRule="exact"/>
              <w:ind w:left="-43" w:leftChars="-20" w:right="-43" w:rightChars="-20"/>
              <w:jc w:val="center"/>
              <w:rPr>
                <w:color w:val="000000"/>
                <w:sz w:val="24"/>
              </w:rPr>
            </w:pPr>
            <w:r>
              <w:rPr>
                <w:color w:val="000000"/>
                <w:sz w:val="24"/>
              </w:rPr>
              <w:t>移动</w:t>
            </w:r>
            <w:r>
              <w:rPr>
                <w:rFonts w:hint="eastAsia"/>
                <w:color w:val="000000"/>
                <w:sz w:val="24"/>
              </w:rPr>
              <w:t>公司</w:t>
            </w:r>
          </w:p>
          <w:p>
            <w:pPr>
              <w:widowControl/>
              <w:spacing w:line="560" w:lineRule="exact"/>
              <w:ind w:left="-43" w:leftChars="-20" w:right="-43" w:rightChars="-20"/>
              <w:jc w:val="center"/>
              <w:rPr>
                <w:rFonts w:hint="eastAsia"/>
                <w:color w:val="000000"/>
                <w:sz w:val="24"/>
              </w:rPr>
            </w:pPr>
            <w:r>
              <w:rPr>
                <w:color w:val="000000"/>
                <w:sz w:val="24"/>
              </w:rPr>
              <w:t>联通公司</w:t>
            </w:r>
          </w:p>
          <w:p>
            <w:pPr>
              <w:widowControl/>
              <w:spacing w:line="560" w:lineRule="exact"/>
              <w:ind w:left="-43" w:leftChars="-20" w:right="-43" w:rightChars="-20"/>
              <w:jc w:val="center"/>
              <w:rPr>
                <w:color w:val="000000"/>
                <w:sz w:val="24"/>
              </w:rPr>
            </w:pPr>
            <w:r>
              <w:rPr>
                <w:color w:val="000000"/>
                <w:sz w:val="24"/>
              </w:rPr>
              <w:t>铁塔公司</w:t>
            </w:r>
          </w:p>
        </w:tc>
      </w:tr>
    </w:tbl>
    <w:p>
      <w:pPr>
        <w:spacing w:line="560" w:lineRule="exact"/>
        <w:jc w:val="center"/>
        <w:rPr>
          <w:rFonts w:eastAsia="仿宋_GB2312"/>
          <w:color w:val="111111"/>
          <w:sz w:val="32"/>
          <w:szCs w:val="32"/>
        </w:rPr>
      </w:pPr>
    </w:p>
    <w:p>
      <w:pPr>
        <w:spacing w:line="560" w:lineRule="exact"/>
        <w:jc w:val="both"/>
        <w:rPr>
          <w:rFonts w:hint="eastAsia" w:eastAsia="仿宋_GB2312"/>
          <w:color w:val="111111"/>
          <w:sz w:val="32"/>
          <w:szCs w:val="32"/>
        </w:rPr>
      </w:pPr>
    </w:p>
    <w:p>
      <w:pPr>
        <w:pStyle w:val="11"/>
        <w:spacing w:line="560" w:lineRule="exact"/>
        <w:ind w:firstLine="0" w:firstLineChars="0"/>
        <w:rPr>
          <w:rFonts w:hint="eastAsia" w:ascii="方正仿宋_GBK" w:eastAsia="方正仿宋_GBK"/>
          <w:sz w:val="28"/>
          <w:szCs w:val="28"/>
        </w:rPr>
      </w:pPr>
    </w:p>
    <w:p>
      <w:pPr>
        <w:pStyle w:val="11"/>
        <w:spacing w:line="560" w:lineRule="exact"/>
        <w:ind w:firstLine="0" w:firstLineChars="0"/>
        <w:rPr>
          <w:rFonts w:hint="eastAsia" w:ascii="方正仿宋_GBK" w:eastAsia="方正仿宋_GBK"/>
          <w:sz w:val="28"/>
          <w:szCs w:val="28"/>
        </w:rPr>
      </w:pPr>
    </w:p>
    <w:p>
      <w:pPr>
        <w:pStyle w:val="11"/>
        <w:spacing w:line="560" w:lineRule="exact"/>
        <w:ind w:firstLine="0" w:firstLineChars="0"/>
        <w:rPr>
          <w:rFonts w:hint="eastAsia" w:ascii="方正仿宋_GBK" w:eastAsia="方正仿宋_GBK"/>
          <w:sz w:val="28"/>
          <w:szCs w:val="28"/>
        </w:rPr>
      </w:pPr>
    </w:p>
    <w:p>
      <w:pPr>
        <w:pStyle w:val="11"/>
        <w:spacing w:line="560" w:lineRule="exact"/>
        <w:ind w:firstLine="0" w:firstLineChars="0"/>
        <w:rPr>
          <w:rFonts w:hint="eastAsia" w:ascii="方正仿宋_GBK" w:eastAsia="方正仿宋_GBK"/>
          <w:sz w:val="28"/>
          <w:szCs w:val="28"/>
        </w:rPr>
      </w:pPr>
    </w:p>
    <w:p>
      <w:pPr>
        <w:pStyle w:val="11"/>
        <w:adjustRightInd w:val="0"/>
        <w:spacing w:line="560" w:lineRule="exact"/>
        <w:ind w:left="1417" w:leftChars="122" w:right="259" w:rightChars="119" w:hanging="1152" w:hangingChars="400"/>
        <w:rPr>
          <w:rFonts w:hint="eastAsia" w:ascii="方正仿宋_GBK" w:eastAsia="方正仿宋_GBK"/>
          <w:sz w:val="28"/>
          <w:szCs w:val="28"/>
        </w:rPr>
      </w:pPr>
    </w:p>
    <w:p>
      <w:pPr>
        <w:pStyle w:val="11"/>
        <w:adjustRightInd w:val="0"/>
        <w:spacing w:line="560" w:lineRule="exact"/>
        <w:ind w:left="1137" w:leftChars="122" w:right="259" w:rightChars="119" w:hanging="872" w:hangingChars="400"/>
        <w:rPr>
          <w:rFonts w:hint="eastAsia"/>
        </w:rPr>
      </w:pPr>
    </w:p>
    <w:sectPr>
      <w:footerReference r:id="rId3" w:type="default"/>
      <w:footerReference r:id="rId4" w:type="even"/>
      <w:pgSz w:w="11905" w:h="16838" w:orient="landscape"/>
      <w:pgMar w:top="1984" w:right="1474" w:bottom="1417" w:left="1474" w:header="567" w:footer="1361" w:gutter="0"/>
      <w:pgNumType w:fmt="numberInDash" w:start="1"/>
      <w:cols w:space="0" w:num="1"/>
      <w:titlePg/>
      <w:docGrid w:type="linesAndChars" w:linePitch="312" w:charSpace="17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ind w:left="378" w:leftChars="180" w:right="378" w:rightChars="180"/>
                            <w:rPr>
                              <w:rStyle w:val="10"/>
                              <w:sz w:val="28"/>
                            </w:rPr>
                          </w:pPr>
                          <w:r>
                            <w:rPr>
                              <w:rStyle w:val="10"/>
                              <w:rFonts w:hint="eastAsia"/>
                              <w:sz w:val="28"/>
                            </w:rPr>
                            <w:t xml:space="preserve"> </w:t>
                          </w:r>
                          <w:r>
                            <w:rPr>
                              <w:rFonts w:hint="eastAsia" w:ascii="宋体" w:hAnsi="宋体" w:eastAsia="宋体" w:cs="宋体"/>
                              <w:sz w:val="28"/>
                            </w:rPr>
                            <w:fldChar w:fldCharType="begin"/>
                          </w:r>
                          <w:r>
                            <w:rPr>
                              <w:rStyle w:val="10"/>
                              <w:rFonts w:hint="eastAsia" w:ascii="宋体" w:hAnsi="宋体" w:eastAsia="宋体" w:cs="宋体"/>
                              <w:sz w:val="28"/>
                            </w:rPr>
                            <w:instrText xml:space="preserve">PAGE  </w:instrText>
                          </w:r>
                          <w:r>
                            <w:rPr>
                              <w:rFonts w:hint="eastAsia" w:ascii="宋体" w:hAnsi="宋体" w:eastAsia="宋体" w:cs="宋体"/>
                              <w:sz w:val="28"/>
                            </w:rPr>
                            <w:fldChar w:fldCharType="separate"/>
                          </w:r>
                          <w:r>
                            <w:rPr>
                              <w:rStyle w:val="10"/>
                              <w:rFonts w:hint="eastAsia" w:ascii="宋体" w:hAnsi="宋体" w:eastAsia="宋体" w:cs="宋体"/>
                              <w:sz w:val="28"/>
                            </w:rPr>
                            <w:t>20</w:t>
                          </w:r>
                          <w:r>
                            <w:rPr>
                              <w:rFonts w:hint="eastAsia" w:ascii="宋体" w:hAnsi="宋体" w:eastAsia="宋体" w:cs="宋体"/>
                              <w:sz w:val="2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5"/>
                      <w:ind w:left="378" w:leftChars="180" w:right="378" w:rightChars="180"/>
                      <w:rPr>
                        <w:rStyle w:val="10"/>
                        <w:sz w:val="28"/>
                      </w:rPr>
                    </w:pPr>
                    <w:r>
                      <w:rPr>
                        <w:rStyle w:val="10"/>
                        <w:rFonts w:hint="eastAsia"/>
                        <w:sz w:val="28"/>
                      </w:rPr>
                      <w:t xml:space="preserve"> </w:t>
                    </w:r>
                    <w:r>
                      <w:rPr>
                        <w:rFonts w:hint="eastAsia" w:ascii="宋体" w:hAnsi="宋体" w:eastAsia="宋体" w:cs="宋体"/>
                        <w:sz w:val="28"/>
                      </w:rPr>
                      <w:fldChar w:fldCharType="begin"/>
                    </w:r>
                    <w:r>
                      <w:rPr>
                        <w:rStyle w:val="10"/>
                        <w:rFonts w:hint="eastAsia" w:ascii="宋体" w:hAnsi="宋体" w:eastAsia="宋体" w:cs="宋体"/>
                        <w:sz w:val="28"/>
                      </w:rPr>
                      <w:instrText xml:space="preserve">PAGE  </w:instrText>
                    </w:r>
                    <w:r>
                      <w:rPr>
                        <w:rFonts w:hint="eastAsia" w:ascii="宋体" w:hAnsi="宋体" w:eastAsia="宋体" w:cs="宋体"/>
                        <w:sz w:val="28"/>
                      </w:rPr>
                      <w:fldChar w:fldCharType="separate"/>
                    </w:r>
                    <w:r>
                      <w:rPr>
                        <w:rStyle w:val="10"/>
                        <w:rFonts w:hint="eastAsia" w:ascii="宋体" w:hAnsi="宋体" w:eastAsia="宋体" w:cs="宋体"/>
                        <w:sz w:val="28"/>
                      </w:rPr>
                      <w:t>20</w:t>
                    </w:r>
                    <w:r>
                      <w:rPr>
                        <w:rFonts w:hint="eastAsia" w:ascii="宋体" w:hAnsi="宋体" w:eastAsia="宋体" w:cs="宋体"/>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ed3zhZsp8dbeCIQV5YPgzz5VseA=" w:salt="r46rqZPX156nOaEVLXhMmw=="/>
  <w:defaultTabStop w:val="420"/>
  <w:hyphenationZone w:val="360"/>
  <w:bookFoldPrinting w:val="1"/>
  <w:bookFoldPrintingSheets w:val="0"/>
  <w:drawingGridHorizontalSpacing w:val="109"/>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E0"/>
    <w:rsid w:val="0000001B"/>
    <w:rsid w:val="0005170B"/>
    <w:rsid w:val="000E4DDD"/>
    <w:rsid w:val="00181AF9"/>
    <w:rsid w:val="00185EC4"/>
    <w:rsid w:val="001B6A54"/>
    <w:rsid w:val="001E0CE9"/>
    <w:rsid w:val="0021190D"/>
    <w:rsid w:val="002206F2"/>
    <w:rsid w:val="002336CA"/>
    <w:rsid w:val="00250B59"/>
    <w:rsid w:val="00262188"/>
    <w:rsid w:val="00270CC9"/>
    <w:rsid w:val="002B0243"/>
    <w:rsid w:val="002F1795"/>
    <w:rsid w:val="002F3356"/>
    <w:rsid w:val="003037D2"/>
    <w:rsid w:val="003037F5"/>
    <w:rsid w:val="00306B2E"/>
    <w:rsid w:val="0036470D"/>
    <w:rsid w:val="00375B48"/>
    <w:rsid w:val="003931AF"/>
    <w:rsid w:val="003E6A1D"/>
    <w:rsid w:val="003F59E1"/>
    <w:rsid w:val="003F5B10"/>
    <w:rsid w:val="00407C94"/>
    <w:rsid w:val="00411B00"/>
    <w:rsid w:val="004D46D9"/>
    <w:rsid w:val="00524BF9"/>
    <w:rsid w:val="005D2527"/>
    <w:rsid w:val="005E2A50"/>
    <w:rsid w:val="006270D8"/>
    <w:rsid w:val="00702332"/>
    <w:rsid w:val="0070735B"/>
    <w:rsid w:val="007215FD"/>
    <w:rsid w:val="007420E2"/>
    <w:rsid w:val="007673FF"/>
    <w:rsid w:val="00771565"/>
    <w:rsid w:val="007A1642"/>
    <w:rsid w:val="007C028B"/>
    <w:rsid w:val="007C4A87"/>
    <w:rsid w:val="007D50EF"/>
    <w:rsid w:val="007D7BAF"/>
    <w:rsid w:val="00810E62"/>
    <w:rsid w:val="00847726"/>
    <w:rsid w:val="00865A4D"/>
    <w:rsid w:val="008F05BF"/>
    <w:rsid w:val="00912760"/>
    <w:rsid w:val="0093344E"/>
    <w:rsid w:val="00943C68"/>
    <w:rsid w:val="00956E81"/>
    <w:rsid w:val="00962552"/>
    <w:rsid w:val="009B2379"/>
    <w:rsid w:val="009D49A4"/>
    <w:rsid w:val="00A376EB"/>
    <w:rsid w:val="00A575BA"/>
    <w:rsid w:val="00A82435"/>
    <w:rsid w:val="00A871CB"/>
    <w:rsid w:val="00A90819"/>
    <w:rsid w:val="00B10E0A"/>
    <w:rsid w:val="00B81DC2"/>
    <w:rsid w:val="00BB0568"/>
    <w:rsid w:val="00BB3768"/>
    <w:rsid w:val="00BE0547"/>
    <w:rsid w:val="00BF55FB"/>
    <w:rsid w:val="00C27AE0"/>
    <w:rsid w:val="00C53671"/>
    <w:rsid w:val="00C85805"/>
    <w:rsid w:val="00C91AA8"/>
    <w:rsid w:val="00D26D02"/>
    <w:rsid w:val="00D60F6B"/>
    <w:rsid w:val="00D74F4F"/>
    <w:rsid w:val="00DB232F"/>
    <w:rsid w:val="00DC37B7"/>
    <w:rsid w:val="00E45BA1"/>
    <w:rsid w:val="00E60094"/>
    <w:rsid w:val="00E61C8E"/>
    <w:rsid w:val="00EE1D08"/>
    <w:rsid w:val="00EE71E5"/>
    <w:rsid w:val="00F67AEC"/>
    <w:rsid w:val="00F94D94"/>
    <w:rsid w:val="00FC7456"/>
    <w:rsid w:val="00FE24BE"/>
    <w:rsid w:val="00FE3567"/>
    <w:rsid w:val="01DD32B3"/>
    <w:rsid w:val="0587192A"/>
    <w:rsid w:val="05A92069"/>
    <w:rsid w:val="065841E9"/>
    <w:rsid w:val="082D7903"/>
    <w:rsid w:val="0844786C"/>
    <w:rsid w:val="08CB1E69"/>
    <w:rsid w:val="0ABD0F18"/>
    <w:rsid w:val="0AE9625E"/>
    <w:rsid w:val="0B5131C2"/>
    <w:rsid w:val="0B841F6B"/>
    <w:rsid w:val="0C1156CA"/>
    <w:rsid w:val="0DC97B5E"/>
    <w:rsid w:val="0E4D4EB6"/>
    <w:rsid w:val="0E700557"/>
    <w:rsid w:val="0F573E29"/>
    <w:rsid w:val="0FF42A26"/>
    <w:rsid w:val="112D4725"/>
    <w:rsid w:val="11BA465F"/>
    <w:rsid w:val="12F244F0"/>
    <w:rsid w:val="13074919"/>
    <w:rsid w:val="135E6A64"/>
    <w:rsid w:val="14335D95"/>
    <w:rsid w:val="146B6F2F"/>
    <w:rsid w:val="14E45727"/>
    <w:rsid w:val="156E1E9C"/>
    <w:rsid w:val="168F35BC"/>
    <w:rsid w:val="18A53398"/>
    <w:rsid w:val="19355A44"/>
    <w:rsid w:val="19E7572A"/>
    <w:rsid w:val="1B223FF3"/>
    <w:rsid w:val="1B4F02C5"/>
    <w:rsid w:val="1BBF480B"/>
    <w:rsid w:val="1C347D5E"/>
    <w:rsid w:val="1EF443D4"/>
    <w:rsid w:val="1F153F49"/>
    <w:rsid w:val="1F155967"/>
    <w:rsid w:val="1F755591"/>
    <w:rsid w:val="20C553E5"/>
    <w:rsid w:val="221C0478"/>
    <w:rsid w:val="22925CF3"/>
    <w:rsid w:val="240B38A9"/>
    <w:rsid w:val="24D21BCE"/>
    <w:rsid w:val="252671F7"/>
    <w:rsid w:val="26892F27"/>
    <w:rsid w:val="27456D60"/>
    <w:rsid w:val="27FF4516"/>
    <w:rsid w:val="28565D6C"/>
    <w:rsid w:val="28881C40"/>
    <w:rsid w:val="29346369"/>
    <w:rsid w:val="29395671"/>
    <w:rsid w:val="296D29B5"/>
    <w:rsid w:val="29B7441E"/>
    <w:rsid w:val="2A2543D8"/>
    <w:rsid w:val="2CA929A9"/>
    <w:rsid w:val="2CE06A54"/>
    <w:rsid w:val="2F1E3F8B"/>
    <w:rsid w:val="2F5C2EB1"/>
    <w:rsid w:val="302B2767"/>
    <w:rsid w:val="308565EF"/>
    <w:rsid w:val="322B43FF"/>
    <w:rsid w:val="32751132"/>
    <w:rsid w:val="34B46426"/>
    <w:rsid w:val="36B355C5"/>
    <w:rsid w:val="37CC2489"/>
    <w:rsid w:val="38A313D1"/>
    <w:rsid w:val="3910694F"/>
    <w:rsid w:val="394B14DF"/>
    <w:rsid w:val="39B769D0"/>
    <w:rsid w:val="3BE46448"/>
    <w:rsid w:val="3CB36B34"/>
    <w:rsid w:val="3D3C2542"/>
    <w:rsid w:val="3DDC1E2D"/>
    <w:rsid w:val="3FCB4368"/>
    <w:rsid w:val="400C1C14"/>
    <w:rsid w:val="41E56B15"/>
    <w:rsid w:val="421F5520"/>
    <w:rsid w:val="42C93339"/>
    <w:rsid w:val="4419194D"/>
    <w:rsid w:val="452F1580"/>
    <w:rsid w:val="45B323BB"/>
    <w:rsid w:val="461C6C7D"/>
    <w:rsid w:val="461E1A6F"/>
    <w:rsid w:val="466632D0"/>
    <w:rsid w:val="46D06EA9"/>
    <w:rsid w:val="47043E02"/>
    <w:rsid w:val="48194287"/>
    <w:rsid w:val="4825501F"/>
    <w:rsid w:val="48333E14"/>
    <w:rsid w:val="487B7365"/>
    <w:rsid w:val="49C4324B"/>
    <w:rsid w:val="4A467B7C"/>
    <w:rsid w:val="4AA36005"/>
    <w:rsid w:val="4B105F92"/>
    <w:rsid w:val="4BFD548F"/>
    <w:rsid w:val="4D0F13F4"/>
    <w:rsid w:val="4F490435"/>
    <w:rsid w:val="500B3426"/>
    <w:rsid w:val="507A3128"/>
    <w:rsid w:val="50CE5B11"/>
    <w:rsid w:val="51CA4FFF"/>
    <w:rsid w:val="522F4114"/>
    <w:rsid w:val="550B2C1B"/>
    <w:rsid w:val="55BA65BA"/>
    <w:rsid w:val="55C20B11"/>
    <w:rsid w:val="55F125C1"/>
    <w:rsid w:val="586243CD"/>
    <w:rsid w:val="58BE5B12"/>
    <w:rsid w:val="58C12288"/>
    <w:rsid w:val="59204DA9"/>
    <w:rsid w:val="5A3F2758"/>
    <w:rsid w:val="5AFF79A4"/>
    <w:rsid w:val="5D922CCB"/>
    <w:rsid w:val="5DDC2730"/>
    <w:rsid w:val="5EE932AB"/>
    <w:rsid w:val="5F1968A1"/>
    <w:rsid w:val="616D58E1"/>
    <w:rsid w:val="61B0539D"/>
    <w:rsid w:val="625F5B81"/>
    <w:rsid w:val="62EA082B"/>
    <w:rsid w:val="638C35CF"/>
    <w:rsid w:val="63E84AC8"/>
    <w:rsid w:val="64021CBA"/>
    <w:rsid w:val="67761CA6"/>
    <w:rsid w:val="67A57A08"/>
    <w:rsid w:val="68666EE9"/>
    <w:rsid w:val="698D09BC"/>
    <w:rsid w:val="69E10B28"/>
    <w:rsid w:val="6B6C6F45"/>
    <w:rsid w:val="6BD9425A"/>
    <w:rsid w:val="6C0A126D"/>
    <w:rsid w:val="6C657E24"/>
    <w:rsid w:val="6CD037BA"/>
    <w:rsid w:val="6CD12717"/>
    <w:rsid w:val="6D440F50"/>
    <w:rsid w:val="6D7E42FB"/>
    <w:rsid w:val="6DE10F9F"/>
    <w:rsid w:val="6F01238E"/>
    <w:rsid w:val="6F08458E"/>
    <w:rsid w:val="6F691E76"/>
    <w:rsid w:val="6F7C7E23"/>
    <w:rsid w:val="710F6BC8"/>
    <w:rsid w:val="713B4E0E"/>
    <w:rsid w:val="721C7CCB"/>
    <w:rsid w:val="73266EC3"/>
    <w:rsid w:val="73723A39"/>
    <w:rsid w:val="74956389"/>
    <w:rsid w:val="764A13B5"/>
    <w:rsid w:val="76805650"/>
    <w:rsid w:val="76DB2E33"/>
    <w:rsid w:val="780539FA"/>
    <w:rsid w:val="78184C41"/>
    <w:rsid w:val="79907A6D"/>
    <w:rsid w:val="79B4329D"/>
    <w:rsid w:val="79B55750"/>
    <w:rsid w:val="79CA47AF"/>
    <w:rsid w:val="7C337C86"/>
    <w:rsid w:val="7CD90B88"/>
    <w:rsid w:val="7F5C34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customStyle="1" w:styleId="2">
    <w:name w:val="_Style 2"/>
    <w:basedOn w:val="1"/>
    <w:qFormat/>
    <w:uiPriority w:val="99"/>
    <w:pPr>
      <w:spacing w:line="351" w:lineRule="atLeast"/>
      <w:ind w:firstLine="623"/>
      <w:textAlignment w:val="baseline"/>
    </w:pPr>
    <w:rPr>
      <w:rFonts w:ascii="Times New Roman" w:hAnsi="Times New Roman" w:eastAsia="仿宋_GB2312" w:cs="Times New Roman"/>
      <w:color w:val="000000"/>
      <w:sz w:val="31"/>
      <w:szCs w:val="20"/>
      <w:u w:val="none" w:color="000000"/>
    </w:rPr>
  </w:style>
  <w:style w:type="paragraph" w:styleId="3">
    <w:name w:val="Body Text Indent"/>
    <w:basedOn w:val="1"/>
    <w:uiPriority w:val="0"/>
    <w:pPr>
      <w:spacing w:line="580" w:lineRule="exact"/>
      <w:ind w:firstLine="600" w:firstLineChars="200"/>
    </w:pPr>
    <w:rPr>
      <w:rFonts w:ascii="Times" w:hAnsi="Times" w:eastAsia="方正仿宋_GBK"/>
      <w:sz w:val="30"/>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page number"/>
    <w:basedOn w:val="9"/>
    <w:uiPriority w:val="0"/>
  </w:style>
  <w:style w:type="paragraph" w:styleId="11">
    <w:name w:val="List Paragraph"/>
    <w:basedOn w:val="1"/>
    <w:qFormat/>
    <w:uiPriority w:val="0"/>
    <w:pPr>
      <w:ind w:firstLine="420" w:firstLineChars="200"/>
    </w:pPr>
    <w:rPr>
      <w:rFonts w:ascii="Calibri" w:hAnsi="Calibri"/>
      <w:szCs w:val="22"/>
    </w:rPr>
  </w:style>
  <w:style w:type="paragraph" w:customStyle="1" w:styleId="12">
    <w:name w:val="正文1"/>
    <w:uiPriority w:val="0"/>
    <w:rPr>
      <w:rFonts w:ascii="Times New Roman" w:hAnsi="Times New Roman" w:eastAsia="方正仿宋_GBK" w:cs="方正仿宋_GBK"/>
      <w:sz w:val="30"/>
      <w:szCs w:val="3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ZCSM</Company>
  <Pages>24</Pages>
  <Words>9849</Words>
  <Characters>10096</Characters>
  <Lines>81</Lines>
  <Paragraphs>22</Paragraphs>
  <TotalTime>42</TotalTime>
  <ScaleCrop>false</ScaleCrop>
  <LinksUpToDate>false</LinksUpToDate>
  <CharactersWithSpaces>10294</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2019-06-27T07:40:00Z</dcterms:created>
  <dc:creator>dddddd</dc:creator>
  <cp:lastModifiedBy>Administrator</cp:lastModifiedBy>
  <cp:lastPrinted>2020-12-08T03:12:00Z</cp:lastPrinted>
  <dcterms:modified xsi:type="dcterms:W3CDTF">2020-12-15T01:45:26Z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KSOSaveFontToCloudKey">
    <vt:lpwstr>200970669_cloud</vt:lpwstr>
  </property>
</Properties>
</file>