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2FC22E40">
      <w:pPr>
        <w:widowControl/>
        <w:spacing w:line="360" w:lineRule="auto"/>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关于砀山县酥梨种质资源省级自然保护区服务中心砀山酥梨种质资源及黄河故道自然保护区科普教育基地项目</w:t>
      </w:r>
    </w:p>
    <w:p w14:paraId="4E280F15">
      <w:pPr>
        <w:widowControl/>
        <w:spacing w:line="360" w:lineRule="auto"/>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环境影响报告表审批意见的函</w:t>
      </w:r>
    </w:p>
    <w:p w14:paraId="1B004B59">
      <w:pPr>
        <w:widowControl/>
        <w:spacing w:line="360" w:lineRule="auto"/>
        <w:jc w:val="left"/>
        <w:rPr>
          <w:rFonts w:ascii="方正小标宋简体" w:hAnsi="方正小标宋简体" w:eastAsia="方正小标宋简体" w:cs="方正小标宋简体"/>
          <w:bCs/>
          <w:sz w:val="44"/>
          <w:szCs w:val="44"/>
        </w:rPr>
      </w:pPr>
    </w:p>
    <w:p w14:paraId="315155B3">
      <w:pPr>
        <w:spacing w:line="360" w:lineRule="auto"/>
        <w:rPr>
          <w:rFonts w:ascii="仿宋" w:hAnsi="仿宋" w:eastAsia="仿宋"/>
          <w:sz w:val="32"/>
          <w:szCs w:val="32"/>
        </w:rPr>
      </w:pPr>
      <w:r>
        <w:rPr>
          <w:rFonts w:hint="eastAsia" w:ascii="仿宋" w:hAnsi="仿宋" w:eastAsia="仿宋" w:cs="仿宋"/>
          <w:sz w:val="32"/>
          <w:szCs w:val="32"/>
        </w:rPr>
        <w:t>砀山县酥梨种质资源省级自然保护区服务中心</w:t>
      </w:r>
      <w:r>
        <w:rPr>
          <w:rFonts w:hint="eastAsia" w:ascii="仿宋" w:hAnsi="仿宋" w:eastAsia="仿宋"/>
          <w:sz w:val="32"/>
          <w:szCs w:val="32"/>
        </w:rPr>
        <w:t>：</w:t>
      </w:r>
    </w:p>
    <w:p w14:paraId="5CC29873">
      <w:pPr>
        <w:spacing w:line="360" w:lineRule="auto"/>
        <w:ind w:firstLine="640" w:firstLineChars="200"/>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sz w:val="32"/>
          <w:szCs w:val="32"/>
        </w:rPr>
        <w:t>《砀山县酥梨种质资源省级自然保护区服务中心砀山酥梨种质资源及黄河故道自然保护区科普教育基地项目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widowControl/>
        <w:spacing w:line="360" w:lineRule="auto"/>
        <w:rPr>
          <w:rFonts w:ascii="仿宋" w:hAnsi="仿宋" w:eastAsia="仿宋"/>
          <w:sz w:val="32"/>
          <w:szCs w:val="32"/>
          <w:highlight w:val="none"/>
        </w:rPr>
      </w:pPr>
      <w:r>
        <w:rPr>
          <w:rFonts w:hint="eastAsia" w:ascii="仿宋" w:hAnsi="仿宋" w:eastAsia="仿宋"/>
          <w:sz w:val="32"/>
          <w:szCs w:val="32"/>
        </w:rPr>
        <w:t xml:space="preserve">    一、原则同意《报告表》评价结论。砀山县酥梨种质资源省级自然保护区服务中心拟投资</w:t>
      </w:r>
      <w:r>
        <w:rPr>
          <w:rFonts w:ascii="仿宋" w:hAnsi="仿宋" w:eastAsia="仿宋"/>
          <w:sz w:val="32"/>
          <w:szCs w:val="32"/>
        </w:rPr>
        <w:t>521.26</w:t>
      </w:r>
      <w:r>
        <w:rPr>
          <w:rFonts w:hint="eastAsia" w:ascii="仿宋" w:hAnsi="仿宋" w:eastAsia="仿宋"/>
          <w:sz w:val="32"/>
          <w:szCs w:val="32"/>
        </w:rPr>
        <w:t>万元在安徽省宿州市砀山县砀城镇西南门村北</w:t>
      </w:r>
      <w:r>
        <w:rPr>
          <w:rFonts w:ascii="仿宋" w:hAnsi="仿宋" w:eastAsia="仿宋"/>
          <w:sz w:val="32"/>
          <w:szCs w:val="32"/>
        </w:rPr>
        <w:t>建设</w:t>
      </w:r>
      <w:r>
        <w:rPr>
          <w:rFonts w:hint="eastAsia" w:ascii="仿宋" w:hAnsi="仿宋" w:eastAsia="仿宋"/>
          <w:sz w:val="32"/>
          <w:szCs w:val="32"/>
        </w:rPr>
        <w:t>砀山酥梨种质资源及黄河故道自然保护区科普教育基地项目，项目总占地面积15.6亩，总建筑面积4713.6平方米，主要建设内容包括:酥梨历史人文展区、黄河故道文化展区、农耕文化展区、湿地科普展区、自然教育课堂及无动力体验乐园等</w:t>
      </w:r>
      <w:r>
        <w:rPr>
          <w:rFonts w:hint="eastAsia" w:ascii="仿宋" w:hAnsi="仿宋" w:eastAsia="仿宋"/>
          <w:sz w:val="32"/>
          <w:szCs w:val="32"/>
          <w:highlight w:val="none"/>
        </w:rPr>
        <w:t>。项目已由砀山县发展和改革委以砀发改投资〔2025〕216号文件予以批复，砀山县自然资源和规划局以砀自然资规审批〔2024〕6号文件同意项目选址，且安徽省林业局以林审准〔2025〕1133号文件同意项目修筑设施，从生态环境保护角度，同意该项目按《报告表》中所列工程性质、地点、内容、规模和配套的污染防治措施等进行建设。</w:t>
      </w:r>
    </w:p>
    <w:p w14:paraId="7A3A709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二、建设单位必须严格执行环境保护“三同时”制度，认真落实《报告表》提出的各项污染防治措施，确保相关的环境保护设施与主体工程同时设计、同时施工、同时投入使用。</w:t>
      </w:r>
    </w:p>
    <w:p w14:paraId="0108258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三、项目应重点注意以下几点：</w:t>
      </w:r>
    </w:p>
    <w:p w14:paraId="35CDFD43">
      <w:pPr>
        <w:spacing w:line="360" w:lineRule="auto"/>
        <w:ind w:firstLine="640" w:firstLineChars="200"/>
        <w:rPr>
          <w:rFonts w:hint="eastAsia" w:ascii="仿宋_GB2312" w:eastAsia="仿宋_GB2312"/>
          <w:sz w:val="32"/>
          <w:szCs w:val="32"/>
          <w:highlight w:val="none"/>
        </w:rPr>
      </w:pPr>
      <w:r>
        <w:rPr>
          <w:rFonts w:hint="eastAsia" w:ascii="仿宋" w:hAnsi="仿宋" w:eastAsia="仿宋"/>
          <w:sz w:val="32"/>
          <w:szCs w:val="32"/>
          <w:highlight w:val="none"/>
        </w:rPr>
        <w:t>1、加强施工期生态保护措施。施工前做好方案优化工作，合理进行施工布局和施工安排，施工作业避开大风和雨水天气，</w:t>
      </w:r>
      <w:r>
        <w:rPr>
          <w:rFonts w:hint="eastAsia" w:ascii="仿宋_GB2312" w:eastAsia="仿宋_GB2312"/>
          <w:sz w:val="32"/>
          <w:szCs w:val="32"/>
          <w:highlight w:val="none"/>
        </w:rPr>
        <w:t>严格控制施工范围尽可能减少对地貌扰动</w:t>
      </w:r>
      <w:r>
        <w:rPr>
          <w:rFonts w:hint="eastAsia" w:ascii="仿宋" w:hAnsi="仿宋" w:eastAsia="仿宋"/>
          <w:sz w:val="32"/>
          <w:szCs w:val="32"/>
          <w:highlight w:val="none"/>
        </w:rPr>
        <w:t>，</w:t>
      </w:r>
      <w:r>
        <w:rPr>
          <w:rFonts w:hint="eastAsia" w:ascii="仿宋_GB2312" w:eastAsia="仿宋_GB2312"/>
          <w:sz w:val="32"/>
          <w:szCs w:val="32"/>
          <w:highlight w:val="none"/>
        </w:rPr>
        <w:t>施工结束后施工便道等临时场地应及时进行清理恢复、及时对施工现场进行生态修复和补救。</w:t>
      </w:r>
    </w:p>
    <w:p w14:paraId="24FB4421">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2、加强施工期环境管理工作。施工地段设置宣传牌，</w:t>
      </w:r>
      <w:r>
        <w:rPr>
          <w:rFonts w:hint="eastAsia" w:ascii="仿宋_GB2312" w:eastAsia="仿宋_GB2312"/>
          <w:sz w:val="32"/>
          <w:szCs w:val="32"/>
          <w:highlight w:val="none"/>
        </w:rPr>
        <w:t>做好施工人员保护动植物宣传教育</w:t>
      </w:r>
      <w:r>
        <w:rPr>
          <w:rFonts w:hint="eastAsia" w:ascii="仿宋_GB2312" w:eastAsia="仿宋_GB2312"/>
          <w:sz w:val="32"/>
          <w:szCs w:val="32"/>
          <w:highlight w:val="none"/>
          <w:u w:val="none"/>
        </w:rPr>
        <w:t>，</w:t>
      </w:r>
      <w:r>
        <w:rPr>
          <w:rFonts w:hint="eastAsia" w:ascii="仿宋" w:hAnsi="仿宋" w:eastAsia="仿宋"/>
          <w:sz w:val="32"/>
          <w:szCs w:val="32"/>
          <w:highlight w:val="none"/>
          <w:u w:val="none"/>
        </w:rPr>
        <w:t>提高施</w:t>
      </w:r>
      <w:r>
        <w:rPr>
          <w:rFonts w:hint="eastAsia" w:ascii="仿宋" w:hAnsi="仿宋" w:eastAsia="仿宋"/>
          <w:sz w:val="32"/>
          <w:szCs w:val="32"/>
          <w:highlight w:val="none"/>
        </w:rPr>
        <w:t>工人员的生态保护意识，设置专职管理人员，对项目施工期生态环境保护措施落实情况进行日常检查和管理。</w:t>
      </w:r>
    </w:p>
    <w:p w14:paraId="656A635C">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3、强化运营期污染防治措施。</w:t>
      </w:r>
      <w:r>
        <w:rPr>
          <w:rFonts w:hint="eastAsia" w:ascii="仿宋_GB2312" w:eastAsia="仿宋_GB2312"/>
          <w:sz w:val="32"/>
          <w:szCs w:val="32"/>
          <w:highlight w:val="none"/>
        </w:rPr>
        <w:t>严格按照“雨污分流”要求规范设计和建设排水系统，加强污水的收集和管理，</w:t>
      </w:r>
      <w:r>
        <w:rPr>
          <w:rFonts w:hint="eastAsia" w:ascii="仿宋" w:hAnsi="仿宋" w:eastAsia="仿宋"/>
          <w:sz w:val="32"/>
          <w:szCs w:val="32"/>
          <w:highlight w:val="none"/>
        </w:rPr>
        <w:t>做好对废气、废水、固废处理环保设施（措施）的日常巡查、维护、保养和更换，建立废气、废水及固废等环保设施（措施）环保管理全过程运行记录和台账，保证足额环保治理资金投入到位，确保达到环评要求的治理能力及管理水平，实现稳定达标排放，</w:t>
      </w:r>
      <w:r>
        <w:rPr>
          <w:rFonts w:hint="eastAsia" w:ascii="仿宋_GB2312" w:eastAsia="仿宋_GB2312"/>
          <w:sz w:val="32"/>
          <w:szCs w:val="32"/>
          <w:highlight w:val="none"/>
        </w:rPr>
        <w:t>同时</w:t>
      </w:r>
      <w:r>
        <w:rPr>
          <w:rFonts w:hint="eastAsia" w:ascii="仿宋" w:hAnsi="仿宋" w:eastAsia="仿宋"/>
          <w:sz w:val="32"/>
          <w:szCs w:val="32"/>
          <w:highlight w:val="none"/>
        </w:rPr>
        <w:t>需做好文明旅游的宣传工作，引导游客文明出行。</w:t>
      </w:r>
    </w:p>
    <w:p w14:paraId="67873F3A">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4、强化环境风险防范管理。制定环境风险事故应急预案，落实各项环境风险防范和应急处置设施（措施），做好日常环境应急演练和培训。</w:t>
      </w:r>
    </w:p>
    <w:p w14:paraId="4A9193B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5、</w:t>
      </w:r>
      <w:r>
        <w:rPr>
          <w:rFonts w:hint="eastAsia" w:ascii="仿宋_GB2312" w:eastAsia="仿宋_GB2312"/>
          <w:sz w:val="32"/>
          <w:szCs w:val="32"/>
          <w:highlight w:val="none"/>
        </w:rPr>
        <w:t>做好环境信息公开工作。</w:t>
      </w:r>
      <w:r>
        <w:rPr>
          <w:rFonts w:hint="eastAsia" w:ascii="仿宋" w:hAnsi="仿宋" w:eastAsia="仿宋"/>
          <w:sz w:val="32"/>
          <w:szCs w:val="32"/>
          <w:highlight w:val="none"/>
        </w:rPr>
        <w:t>在工程施工和运营过程中，应建立畅通的公众参与平台，</w:t>
      </w:r>
      <w:r>
        <w:rPr>
          <w:rFonts w:hint="eastAsia" w:ascii="仿宋_GB2312" w:eastAsia="仿宋_GB2312"/>
          <w:sz w:val="32"/>
          <w:szCs w:val="32"/>
          <w:highlight w:val="none"/>
        </w:rPr>
        <w:t>接受公众监督，并</w:t>
      </w:r>
      <w:r>
        <w:rPr>
          <w:rFonts w:hint="eastAsia" w:ascii="仿宋" w:hAnsi="仿宋" w:eastAsia="仿宋"/>
          <w:sz w:val="32"/>
          <w:szCs w:val="32"/>
          <w:highlight w:val="none"/>
        </w:rPr>
        <w:t>及时解决公众提出的环境问题，满足公众合理的环境保护要求。</w:t>
      </w:r>
    </w:p>
    <w:p w14:paraId="58125F4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w:t>
      </w:r>
      <w:r>
        <w:rPr>
          <w:rFonts w:hint="eastAsia" w:ascii="仿宋_GB2312" w:eastAsia="仿宋_GB2312"/>
          <w:sz w:val="32"/>
          <w:szCs w:val="32"/>
          <w:highlight w:val="none"/>
        </w:rPr>
        <w:t>该项目涉及发改、国土和规划、林业、水利、应急、文物保护等事项，以相应行政主管部门的意见为准。</w:t>
      </w:r>
      <w:r>
        <w:rPr>
          <w:rFonts w:hint="eastAsia" w:ascii="仿宋" w:hAnsi="仿宋" w:eastAsia="仿宋"/>
          <w:sz w:val="32"/>
          <w:szCs w:val="32"/>
          <w:highlight w:val="none"/>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 </w:t>
      </w:r>
    </w:p>
    <w:p w14:paraId="7CDBE7B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五、项目竣工后，你单位是建设项目竣工环境保护验收的责任主体，应当按照规定的程序和标准，组织对配套建设的环境保护设施进行验</w:t>
      </w:r>
      <w:bookmarkStart w:id="1" w:name="_GoBack"/>
      <w:bookmarkEnd w:id="1"/>
      <w:r>
        <w:rPr>
          <w:rFonts w:hint="eastAsia" w:ascii="仿宋" w:hAnsi="仿宋" w:eastAsia="仿宋"/>
          <w:sz w:val="32"/>
          <w:szCs w:val="32"/>
          <w:highlight w:val="none"/>
        </w:rPr>
        <w:t>收，验收合格后，项目方可正式投入运行。</w:t>
      </w:r>
    </w:p>
    <w:p w14:paraId="222A1C9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六、所在辖区行政执法中队负责</w:t>
      </w:r>
      <w:bookmarkStart w:id="0" w:name="OLE_LINK1"/>
      <w:r>
        <w:rPr>
          <w:rFonts w:hint="eastAsia" w:ascii="仿宋" w:hAnsi="仿宋" w:eastAsia="仿宋"/>
          <w:sz w:val="32"/>
          <w:szCs w:val="32"/>
          <w:highlight w:val="none"/>
        </w:rPr>
        <w:t>该项目“三同时”日常监管工作，并将监管过程中出现的重大情况及时报县生态环境</w:t>
      </w:r>
      <w:r>
        <w:rPr>
          <w:rFonts w:ascii="仿宋" w:hAnsi="仿宋" w:eastAsia="仿宋"/>
          <w:sz w:val="32"/>
          <w:szCs w:val="32"/>
          <w:highlight w:val="none"/>
        </w:rPr>
        <w:t>分</w:t>
      </w:r>
      <w:r>
        <w:rPr>
          <w:rFonts w:hint="eastAsia" w:ascii="仿宋" w:hAnsi="仿宋" w:eastAsia="仿宋"/>
          <w:sz w:val="32"/>
          <w:szCs w:val="32"/>
          <w:highlight w:val="none"/>
        </w:rPr>
        <w:t>局</w:t>
      </w:r>
      <w:bookmarkEnd w:id="0"/>
      <w:r>
        <w:rPr>
          <w:rFonts w:hint="eastAsia" w:ascii="仿宋" w:hAnsi="仿宋" w:eastAsia="仿宋"/>
          <w:sz w:val="32"/>
          <w:szCs w:val="32"/>
          <w:highlight w:val="none"/>
        </w:rPr>
        <w:t>。</w:t>
      </w:r>
    </w:p>
    <w:p w14:paraId="767C0B6A">
      <w:pPr>
        <w:spacing w:line="360" w:lineRule="auto"/>
        <w:ind w:firstLine="640" w:firstLineChars="200"/>
        <w:rPr>
          <w:rFonts w:ascii="仿宋" w:hAnsi="仿宋" w:eastAsia="仿宋"/>
          <w:sz w:val="32"/>
          <w:szCs w:val="32"/>
          <w:highlight w:val="none"/>
        </w:rPr>
      </w:pPr>
    </w:p>
    <w:p w14:paraId="1092CE19">
      <w:pPr>
        <w:spacing w:line="360" w:lineRule="auto"/>
        <w:ind w:firstLine="640" w:firstLineChars="200"/>
        <w:jc w:val="right"/>
        <w:rPr>
          <w:rFonts w:ascii="仿宋" w:hAnsi="仿宋" w:eastAsia="仿宋"/>
          <w:sz w:val="32"/>
          <w:szCs w:val="32"/>
          <w:highlight w:val="none"/>
        </w:rPr>
      </w:pPr>
    </w:p>
    <w:p w14:paraId="5484C1FA">
      <w:pPr>
        <w:spacing w:line="360" w:lineRule="auto"/>
        <w:ind w:right="320"/>
        <w:jc w:val="right"/>
        <w:rPr>
          <w:rFonts w:ascii="仿宋" w:hAnsi="仿宋" w:eastAsia="仿宋"/>
          <w:sz w:val="32"/>
          <w:szCs w:val="32"/>
          <w:highlight w:val="none"/>
        </w:rPr>
      </w:pPr>
    </w:p>
    <w:p w14:paraId="250AE4F0">
      <w:pPr>
        <w:spacing w:line="360" w:lineRule="auto"/>
        <w:ind w:right="320"/>
        <w:jc w:val="right"/>
        <w:rPr>
          <w:rFonts w:ascii="仿宋" w:hAnsi="仿宋" w:eastAsia="仿宋"/>
          <w:sz w:val="32"/>
          <w:szCs w:val="32"/>
          <w:highlight w:val="none"/>
        </w:rPr>
      </w:pPr>
      <w:r>
        <w:rPr>
          <w:rFonts w:hint="eastAsia" w:ascii="仿宋" w:hAnsi="仿宋" w:eastAsia="仿宋"/>
          <w:sz w:val="32"/>
          <w:szCs w:val="32"/>
          <w:highlight w:val="none"/>
        </w:rPr>
        <w:t xml:space="preserve"> </w:t>
      </w:r>
    </w:p>
    <w:p w14:paraId="63F26112">
      <w:pPr>
        <w:spacing w:line="360" w:lineRule="auto"/>
        <w:ind w:right="320"/>
        <w:jc w:val="right"/>
        <w:rPr>
          <w:rFonts w:ascii="仿宋" w:hAnsi="仿宋" w:eastAsia="仿宋"/>
          <w:sz w:val="32"/>
          <w:szCs w:val="32"/>
          <w:highlight w:val="none"/>
        </w:rPr>
      </w:pPr>
      <w:r>
        <w:rPr>
          <w:rFonts w:hint="eastAsia" w:ascii="仿宋" w:hAnsi="仿宋" w:eastAsia="仿宋"/>
          <w:sz w:val="32"/>
          <w:szCs w:val="32"/>
          <w:highlight w:val="none"/>
        </w:rPr>
        <w:t xml:space="preserve">宿州市砀山县生态环境分局                      </w:t>
      </w:r>
    </w:p>
    <w:p w14:paraId="445D09BA">
      <w:pPr>
        <w:spacing w:line="360" w:lineRule="auto"/>
        <w:ind w:right="800"/>
        <w:jc w:val="right"/>
        <w:rPr>
          <w:rFonts w:ascii="仿宋" w:hAnsi="仿宋" w:eastAsia="仿宋"/>
          <w:sz w:val="32"/>
          <w:szCs w:val="32"/>
          <w:highlight w:val="none"/>
        </w:rPr>
      </w:pPr>
      <w:r>
        <w:rPr>
          <w:rFonts w:hint="eastAsia" w:ascii="仿宋" w:hAnsi="仿宋" w:eastAsia="仿宋"/>
          <w:sz w:val="32"/>
          <w:szCs w:val="32"/>
          <w:highlight w:val="none"/>
        </w:rPr>
        <w:t>20</w:t>
      </w:r>
      <w:r>
        <w:rPr>
          <w:rFonts w:ascii="仿宋" w:hAnsi="仿宋" w:eastAsia="仿宋"/>
          <w:sz w:val="32"/>
          <w:szCs w:val="32"/>
          <w:highlight w:val="none"/>
        </w:rPr>
        <w:t>25</w:t>
      </w:r>
      <w:r>
        <w:rPr>
          <w:rFonts w:hint="eastAsia" w:ascii="仿宋" w:hAnsi="仿宋" w:eastAsia="仿宋"/>
          <w:sz w:val="32"/>
          <w:szCs w:val="32"/>
          <w:highlight w:val="none"/>
        </w:rPr>
        <w:t xml:space="preserve">年12月 </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w:t>
      </w:r>
    </w:p>
    <w:p w14:paraId="02625DFC">
      <w:pPr>
        <w:adjustRightInd w:val="0"/>
        <w:snapToGrid w:val="0"/>
        <w:spacing w:line="360" w:lineRule="auto"/>
        <w:jc w:val="left"/>
        <w:rPr>
          <w:rFonts w:ascii="仿宋_GB2312" w:hAnsi="仿宋_GB2312" w:eastAsia="仿宋_GB2312"/>
          <w:sz w:val="32"/>
          <w:highlight w:val="none"/>
          <w:u w:val="thick"/>
        </w:rPr>
      </w:pPr>
    </w:p>
    <w:p w14:paraId="0C8BEAA8">
      <w:pPr>
        <w:pStyle w:val="2"/>
        <w:rPr>
          <w:highlight w:val="none"/>
        </w:rPr>
      </w:pPr>
    </w:p>
    <w:p w14:paraId="4A030182">
      <w:pPr>
        <w:adjustRightInd w:val="0"/>
        <w:snapToGrid w:val="0"/>
        <w:spacing w:line="360" w:lineRule="auto"/>
        <w:jc w:val="left"/>
        <w:rPr>
          <w:highlight w:val="none"/>
        </w:rPr>
      </w:pPr>
    </w:p>
    <w:p w14:paraId="6410924B">
      <w:pPr>
        <w:adjustRightInd w:val="0"/>
        <w:snapToGrid w:val="0"/>
        <w:spacing w:line="360" w:lineRule="auto"/>
        <w:jc w:val="left"/>
        <w:rPr>
          <w:rFonts w:ascii="仿宋_GB2312" w:hAnsi="仿宋_GB2312" w:eastAsia="仿宋_GB2312"/>
          <w:sz w:val="32"/>
          <w:highlight w:val="none"/>
          <w:u w:val="thick"/>
        </w:rPr>
      </w:pPr>
    </w:p>
    <w:p w14:paraId="4F1B014A">
      <w:pPr>
        <w:adjustRightInd w:val="0"/>
        <w:snapToGrid w:val="0"/>
        <w:spacing w:line="360" w:lineRule="auto"/>
        <w:jc w:val="left"/>
        <w:rPr>
          <w:rFonts w:ascii="仿宋_GB2312" w:hAnsi="仿宋_GB2312" w:eastAsia="仿宋_GB2312"/>
          <w:sz w:val="32"/>
          <w:highlight w:val="none"/>
          <w:u w:val="thick"/>
        </w:rPr>
      </w:pPr>
    </w:p>
    <w:p w14:paraId="62E0DCB0">
      <w:pPr>
        <w:adjustRightInd w:val="0"/>
        <w:snapToGrid w:val="0"/>
        <w:spacing w:line="360" w:lineRule="auto"/>
        <w:jc w:val="left"/>
        <w:rPr>
          <w:rFonts w:ascii="仿宋_GB2312" w:hAnsi="仿宋_GB2312" w:eastAsia="仿宋_GB2312"/>
          <w:sz w:val="32"/>
          <w:highlight w:val="none"/>
          <w:u w:val="thick"/>
        </w:rPr>
      </w:pPr>
    </w:p>
    <w:p w14:paraId="068C92CC">
      <w:pPr>
        <w:adjustRightInd w:val="0"/>
        <w:snapToGrid w:val="0"/>
        <w:spacing w:line="360" w:lineRule="auto"/>
        <w:jc w:val="left"/>
        <w:rPr>
          <w:rFonts w:ascii="仿宋_GB2312" w:hAnsi="仿宋_GB2312" w:eastAsia="仿宋_GB2312"/>
          <w:sz w:val="32"/>
          <w:highlight w:val="none"/>
          <w:u w:val="thick"/>
        </w:rPr>
      </w:pPr>
    </w:p>
    <w:p w14:paraId="6C930E00">
      <w:pPr>
        <w:adjustRightInd w:val="0"/>
        <w:snapToGrid w:val="0"/>
        <w:spacing w:line="360" w:lineRule="auto"/>
        <w:jc w:val="left"/>
        <w:rPr>
          <w:rFonts w:ascii="仿宋_GB2312" w:hAnsi="仿宋_GB2312" w:eastAsia="仿宋_GB2312"/>
          <w:sz w:val="32"/>
          <w:highlight w:val="none"/>
          <w:u w:val="thick"/>
        </w:rPr>
      </w:pPr>
    </w:p>
    <w:p w14:paraId="3F2D9321">
      <w:pPr>
        <w:adjustRightInd w:val="0"/>
        <w:snapToGrid w:val="0"/>
        <w:spacing w:line="360" w:lineRule="auto"/>
        <w:jc w:val="left"/>
        <w:rPr>
          <w:rFonts w:ascii="仿宋_GB2312" w:hAnsi="仿宋_GB2312" w:eastAsia="仿宋_GB2312"/>
          <w:sz w:val="32"/>
          <w:highlight w:val="none"/>
          <w:u w:val="thick"/>
        </w:rPr>
      </w:pPr>
      <w:r>
        <w:rPr>
          <w:rFonts w:ascii="仿宋_GB2312" w:hAnsi="仿宋_GB2312" w:eastAsia="仿宋_GB2312"/>
          <w:sz w:val="32"/>
          <w:highlight w:val="none"/>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highlight w:val="none"/>
          <w:u w:val="single"/>
        </w:rPr>
        <w:t>抄：县</w:t>
      </w:r>
      <w:r>
        <w:rPr>
          <w:rFonts w:hint="eastAsia" w:ascii="仿宋" w:hAnsi="仿宋" w:eastAsia="仿宋" w:cs="仿宋"/>
          <w:sz w:val="28"/>
          <w:szCs w:val="28"/>
          <w:highlight w:val="none"/>
          <w:u w:val="single"/>
        </w:rPr>
        <w:t>生态环境行政执法</w:t>
      </w:r>
      <w:r>
        <w:rPr>
          <w:rFonts w:hint="eastAsia" w:ascii="仿宋" w:hAnsi="仿宋" w:eastAsia="仿宋" w:cs="仿宋"/>
          <w:bCs/>
          <w:sz w:val="28"/>
          <w:szCs w:val="28"/>
          <w:highlight w:val="none"/>
          <w:u w:val="single"/>
        </w:rPr>
        <w:t>大队，安徽伊尔思环境科技股份有限公司</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thick"/>
        </w:rPr>
        <w:t xml:space="preserve"> 宿州市砀山县生态环境分局办公室　       2025年12月</w:t>
      </w:r>
      <w:r>
        <w:rPr>
          <w:rFonts w:hint="eastAsia" w:ascii="仿宋" w:hAnsi="仿宋" w:eastAsia="仿宋" w:cs="仿宋"/>
          <w:sz w:val="28"/>
          <w:szCs w:val="28"/>
          <w:highlight w:val="none"/>
          <w:u w:val="thick"/>
          <w:lang w:val="en-US" w:eastAsia="zh-CN"/>
        </w:rPr>
        <w:t>30</w:t>
      </w:r>
      <w:r>
        <w:rPr>
          <w:rFonts w:hint="eastAsia" w:ascii="仿宋" w:hAnsi="仿宋" w:eastAsia="仿宋" w:cs="仿宋"/>
          <w:sz w:val="28"/>
          <w:szCs w:val="28"/>
          <w:highlight w:val="none"/>
          <w:u w:val="thick"/>
        </w:rPr>
        <w:t xml:space="preserve">日印发      </w:t>
      </w:r>
      <w:r>
        <w:rPr>
          <w:rFonts w:hint="eastAsia" w:ascii="仿宋" w:hAnsi="仿宋" w:eastAsia="仿宋" w:cs="仿宋"/>
          <w:sz w:val="28"/>
          <w:szCs w:val="28"/>
          <w:u w:val="thick"/>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65"/>
    <w:rsid w:val="0000714B"/>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2A27"/>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59FC"/>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1A9B"/>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0166"/>
    <w:rsid w:val="00413057"/>
    <w:rsid w:val="0041554D"/>
    <w:rsid w:val="00416733"/>
    <w:rsid w:val="00416D23"/>
    <w:rsid w:val="004215BC"/>
    <w:rsid w:val="00421ACE"/>
    <w:rsid w:val="00432539"/>
    <w:rsid w:val="00432D8F"/>
    <w:rsid w:val="00434EBB"/>
    <w:rsid w:val="00437BE3"/>
    <w:rsid w:val="00442B9E"/>
    <w:rsid w:val="004434EC"/>
    <w:rsid w:val="00446F9F"/>
    <w:rsid w:val="0044736C"/>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16EE8"/>
    <w:rsid w:val="0052053B"/>
    <w:rsid w:val="005317CD"/>
    <w:rsid w:val="00531E46"/>
    <w:rsid w:val="00532D7C"/>
    <w:rsid w:val="0053441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3413"/>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06F0"/>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D743E"/>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16A45"/>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9A5"/>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D4A9F"/>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97567"/>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C5C0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1ADD"/>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02A4"/>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B04395"/>
    <w:rsid w:val="10D42BB6"/>
    <w:rsid w:val="113E7F74"/>
    <w:rsid w:val="11B4266C"/>
    <w:rsid w:val="11DB2196"/>
    <w:rsid w:val="134808A7"/>
    <w:rsid w:val="143B4D18"/>
    <w:rsid w:val="16095A09"/>
    <w:rsid w:val="180A4854"/>
    <w:rsid w:val="19896808"/>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984C85"/>
    <w:rsid w:val="49C16BC8"/>
    <w:rsid w:val="4C1E6192"/>
    <w:rsid w:val="4C450B45"/>
    <w:rsid w:val="4E427F9E"/>
    <w:rsid w:val="4EF550EA"/>
    <w:rsid w:val="4FC07426"/>
    <w:rsid w:val="4FC30956"/>
    <w:rsid w:val="52BA6E04"/>
    <w:rsid w:val="53EE15A7"/>
    <w:rsid w:val="54DB16C7"/>
    <w:rsid w:val="54E245AA"/>
    <w:rsid w:val="55DA0E89"/>
    <w:rsid w:val="564776EA"/>
    <w:rsid w:val="580B0628"/>
    <w:rsid w:val="59267DB8"/>
    <w:rsid w:val="595B58D8"/>
    <w:rsid w:val="5A601300"/>
    <w:rsid w:val="5ABA7FF6"/>
    <w:rsid w:val="5BFA2498"/>
    <w:rsid w:val="5F36187C"/>
    <w:rsid w:val="5FAA7F89"/>
    <w:rsid w:val="61683457"/>
    <w:rsid w:val="618C21BA"/>
    <w:rsid w:val="620A4506"/>
    <w:rsid w:val="622E0E5C"/>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1805A4"/>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2"/>
      <w:lang w:val="en-US" w:eastAsia="zh-CN" w:bidi="ar-SA"/>
    </w:rPr>
  </w:style>
  <w:style w:type="paragraph" w:styleId="7">
    <w:name w:val="Body Text Indent"/>
    <w:basedOn w:val="1"/>
    <w:next w:val="8"/>
    <w:qFormat/>
    <w:uiPriority w:val="0"/>
    <w:pPr>
      <w:spacing w:after="120"/>
      <w:ind w:left="420" w:leftChars="200"/>
    </w:pPr>
    <w:rPr>
      <w:rFonts w:ascii="Times New Roman" w:hAnsi="Times New Roman" w:cs="Times New Roman"/>
      <w:kern w:val="0"/>
      <w:sz w:val="24"/>
      <w:szCs w:val="20"/>
    </w:rPr>
  </w:style>
  <w:style w:type="paragraph" w:styleId="8">
    <w:name w:val="Body Text First Indent 2"/>
    <w:basedOn w:val="7"/>
    <w:next w:val="1"/>
    <w:unhideWhenUsed/>
    <w:qFormat/>
    <w:uiPriority w:val="0"/>
    <w:pPr>
      <w:spacing w:after="0" w:line="480" w:lineRule="exact"/>
      <w:ind w:left="0" w:leftChars="0" w:firstLine="420" w:firstLineChars="200"/>
    </w:pPr>
    <w:rPr>
      <w:b/>
      <w:sz w:val="28"/>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spacing w:line="500" w:lineRule="exact"/>
      <w:ind w:firstLine="556"/>
    </w:pPr>
    <w:rPr>
      <w:rFonts w:ascii="Times New Roman" w:hAnsi="Times New Roman" w:cs="Times New Roman"/>
      <w:bCs/>
      <w:sz w:val="28"/>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ind w:left="3360" w:leftChars="1600"/>
    </w:pPr>
    <w:rPr>
      <w:rFonts w:ascii="Times New Roman" w:hAnsi="Times New Roman" w:cs="Times New Roman"/>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autoSpaceDE w:val="0"/>
      <w:autoSpaceDN w:val="0"/>
    </w:pPr>
    <w:rPr>
      <w:rFonts w:ascii="Times New Roman" w:hAnsi="Times New Roman" w:cs="Times New Roman"/>
      <w:color w:val="000000"/>
      <w:sz w:val="24"/>
      <w:szCs w:val="24"/>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97A0-F75A-4D1C-93B6-DFB9BEAE000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1459</Words>
  <Characters>1500</Characters>
  <Lines>12</Lines>
  <Paragraphs>3</Paragraphs>
  <TotalTime>46</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2025-12-23T02:10:00Z</dcterms:created>
  <dc:creator>Administrator</dc:creator>
  <cp:lastModifiedBy>小甜甜</cp:lastModifiedBy>
  <cp:lastPrinted>2025-12-30T01:09:56Z</cp:lastPrinted>
  <dcterms:modified xsi:type="dcterms:W3CDTF">2025-12-30T01:11:45Z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E0AECF811F6F421B9E1C250629E22F7E_13</vt:lpwstr>
  </property>
</Properties>
</file>