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515A5">
      <w:pPr>
        <w:ind w:firstLine="0" w:firstLineChars="0"/>
        <w:jc w:val="center"/>
        <w:textAlignment w:val="baseline"/>
        <w:rPr>
          <w:rFonts w:ascii="仿宋" w:hAnsi="仿宋" w:cs="仿宋"/>
          <w:b/>
          <w:bCs/>
          <w:sz w:val="44"/>
          <w:szCs w:val="44"/>
        </w:rPr>
      </w:pPr>
      <w:bookmarkStart w:id="0" w:name="_Ref15078"/>
    </w:p>
    <w:p w14:paraId="38A4017E">
      <w:pPr>
        <w:ind w:firstLine="0" w:firstLineChars="0"/>
        <w:jc w:val="center"/>
        <w:textAlignment w:val="baseline"/>
        <w:rPr>
          <w:rFonts w:ascii="仿宋" w:hAnsi="仿宋" w:cs="仿宋"/>
          <w:b/>
          <w:bCs/>
          <w:sz w:val="44"/>
          <w:szCs w:val="44"/>
        </w:rPr>
      </w:pPr>
    </w:p>
    <w:p w14:paraId="0D512BE5">
      <w:pPr>
        <w:ind w:firstLine="0" w:firstLineChars="0"/>
        <w:jc w:val="center"/>
        <w:textAlignment w:val="baseline"/>
        <w:rPr>
          <w:rFonts w:ascii="仿宋" w:hAnsi="仿宋" w:cs="仿宋"/>
          <w:b/>
          <w:bCs/>
          <w:sz w:val="44"/>
          <w:szCs w:val="44"/>
        </w:rPr>
      </w:pPr>
      <w:r>
        <w:rPr>
          <w:rFonts w:hint="eastAsia" w:ascii="仿宋" w:hAnsi="仿宋" w:cs="仿宋"/>
          <w:b/>
          <w:bCs/>
          <w:sz w:val="44"/>
          <w:szCs w:val="44"/>
        </w:rPr>
        <w:t>砀山县“十四五”生态环境保护规划</w:t>
      </w:r>
    </w:p>
    <w:p w14:paraId="72058BAE">
      <w:pPr>
        <w:ind w:firstLine="0" w:firstLineChars="0"/>
        <w:jc w:val="center"/>
        <w:textAlignment w:val="baseline"/>
        <w:rPr>
          <w:rFonts w:ascii="仿宋" w:hAnsi="仿宋" w:cs="仿宋"/>
          <w:b/>
          <w:bCs/>
          <w:sz w:val="44"/>
          <w:szCs w:val="44"/>
        </w:rPr>
      </w:pPr>
    </w:p>
    <w:p w14:paraId="5BCF5B89">
      <w:pPr>
        <w:pStyle w:val="2"/>
      </w:pPr>
    </w:p>
    <w:p w14:paraId="0365B1AE">
      <w:pPr>
        <w:ind w:firstLine="0" w:firstLineChars="0"/>
        <w:jc w:val="center"/>
        <w:textAlignment w:val="baseline"/>
        <w:rPr>
          <w:rFonts w:ascii="仿宋" w:hAnsi="仿宋" w:cs="仿宋"/>
          <w:b/>
          <w:bCs/>
          <w:sz w:val="44"/>
          <w:szCs w:val="44"/>
        </w:rPr>
      </w:pPr>
    </w:p>
    <w:p w14:paraId="0AA73DCC">
      <w:pPr>
        <w:ind w:firstLine="0" w:firstLineChars="0"/>
        <w:jc w:val="center"/>
        <w:textAlignment w:val="baseline"/>
        <w:rPr>
          <w:rFonts w:ascii="仿宋" w:hAnsi="仿宋" w:cs="仿宋"/>
          <w:b/>
          <w:bCs/>
          <w:sz w:val="44"/>
          <w:szCs w:val="44"/>
        </w:rPr>
      </w:pPr>
    </w:p>
    <w:p w14:paraId="48A68332">
      <w:pPr>
        <w:ind w:firstLine="0" w:firstLineChars="0"/>
        <w:jc w:val="center"/>
        <w:textAlignment w:val="baseline"/>
        <w:rPr>
          <w:rFonts w:ascii="仿宋" w:hAnsi="仿宋" w:cs="仿宋"/>
          <w:b/>
          <w:bCs/>
          <w:sz w:val="44"/>
          <w:szCs w:val="44"/>
        </w:rPr>
      </w:pPr>
    </w:p>
    <w:p w14:paraId="5AC75D65">
      <w:pPr>
        <w:ind w:firstLine="720"/>
        <w:textAlignment w:val="baseline"/>
        <w:rPr>
          <w:rFonts w:ascii="仿宋" w:hAnsi="仿宋" w:cs="仿宋"/>
          <w:b/>
          <w:bCs/>
          <w:sz w:val="36"/>
          <w:szCs w:val="36"/>
        </w:rPr>
      </w:pPr>
      <w:r>
        <w:rPr>
          <w:rFonts w:hint="eastAsia" w:ascii="仿宋" w:hAnsi="仿宋" w:cs="仿宋"/>
          <w:b/>
          <w:bCs/>
          <w:sz w:val="36"/>
          <w:szCs w:val="36"/>
        </w:rPr>
        <w:t>规划编制单位：砀山县生态环境分局</w:t>
      </w:r>
    </w:p>
    <w:p w14:paraId="064D07C3">
      <w:pPr>
        <w:ind w:firstLine="0" w:firstLineChars="0"/>
        <w:jc w:val="center"/>
        <w:textAlignment w:val="baseline"/>
        <w:rPr>
          <w:rFonts w:ascii="仿宋" w:hAnsi="仿宋" w:cs="仿宋"/>
          <w:b/>
          <w:bCs/>
          <w:sz w:val="36"/>
          <w:szCs w:val="36"/>
        </w:rPr>
      </w:pPr>
      <w:r>
        <w:rPr>
          <w:rFonts w:hint="eastAsia" w:ascii="仿宋" w:hAnsi="仿宋" w:cs="仿宋"/>
          <w:b/>
          <w:bCs/>
          <w:sz w:val="36"/>
          <w:szCs w:val="36"/>
        </w:rPr>
        <w:t xml:space="preserve">  </w:t>
      </w:r>
      <w:r>
        <w:rPr>
          <w:rFonts w:hint="eastAsia" w:ascii="仿宋" w:hAnsi="仿宋" w:cs="仿宋"/>
          <w:b/>
          <w:bCs/>
          <w:sz w:val="36"/>
          <w:szCs w:val="36"/>
          <w:lang w:val="en-US" w:eastAsia="zh-CN"/>
        </w:rPr>
        <w:t xml:space="preserve"> </w:t>
      </w:r>
      <w:r>
        <w:rPr>
          <w:rFonts w:hint="eastAsia" w:ascii="仿宋" w:hAnsi="仿宋" w:cs="仿宋"/>
          <w:b/>
          <w:bCs/>
          <w:sz w:val="36"/>
          <w:szCs w:val="36"/>
        </w:rPr>
        <w:t xml:space="preserve">  安徽伊尔思环境科技股份有限公司</w:t>
      </w:r>
    </w:p>
    <w:p w14:paraId="36918E19">
      <w:pPr>
        <w:ind w:firstLine="0" w:firstLineChars="0"/>
        <w:jc w:val="center"/>
        <w:textAlignment w:val="baseline"/>
        <w:rPr>
          <w:rFonts w:ascii="仿宋" w:hAnsi="仿宋" w:cs="仿宋"/>
          <w:b/>
          <w:bCs/>
          <w:sz w:val="36"/>
          <w:szCs w:val="36"/>
        </w:rPr>
      </w:pPr>
      <w:r>
        <w:rPr>
          <w:rFonts w:hint="eastAsia" w:ascii="仿宋" w:hAnsi="仿宋" w:cs="仿宋"/>
          <w:b/>
          <w:bCs/>
          <w:sz w:val="36"/>
          <w:szCs w:val="36"/>
        </w:rPr>
        <w:t>2021年12月</w:t>
      </w:r>
    </w:p>
    <w:p w14:paraId="24D1622B">
      <w:pPr>
        <w:ind w:firstLine="0" w:firstLineChars="0"/>
        <w:jc w:val="center"/>
        <w:textAlignment w:val="baseline"/>
        <w:rPr>
          <w:rFonts w:ascii="仿宋" w:hAnsi="仿宋" w:cs="仿宋"/>
          <w:b/>
          <w:bCs/>
          <w:sz w:val="44"/>
          <w:szCs w:val="44"/>
        </w:rPr>
      </w:pPr>
    </w:p>
    <w:p w14:paraId="7C02D52C">
      <w:pPr>
        <w:spacing w:line="360" w:lineRule="auto"/>
        <w:ind w:firstLine="0" w:firstLineChars="0"/>
        <w:jc w:val="center"/>
        <w:textAlignment w:val="baseline"/>
        <w:rPr>
          <w:rFonts w:ascii="仿宋" w:hAnsi="仿宋" w:cs="仿宋"/>
          <w:b/>
          <w:bCs/>
          <w:sz w:val="52"/>
          <w:szCs w:val="52"/>
        </w:rPr>
        <w:sectPr>
          <w:footerReference r:id="rId5" w:type="default"/>
          <w:pgSz w:w="11911" w:h="16838"/>
          <w:pgMar w:top="1803" w:right="1701" w:bottom="1803" w:left="1701" w:header="0" w:footer="1043" w:gutter="0"/>
          <w:pgNumType w:start="1"/>
          <w:cols w:space="720" w:num="1"/>
          <w:docGrid w:linePitch="312" w:charSpace="0"/>
        </w:sectPr>
      </w:pPr>
    </w:p>
    <w:sdt>
      <w:sdtPr>
        <w:rPr>
          <w:rFonts w:ascii="宋体" w:hAnsi="宋体"/>
          <w:b/>
          <w:sz w:val="44"/>
        </w:rPr>
        <w:id w:val="147479730"/>
        <w15:color w:val="DBDBDB"/>
        <w:docPartObj>
          <w:docPartGallery w:val="Table of Contents"/>
          <w:docPartUnique/>
        </w:docPartObj>
      </w:sdtPr>
      <w:sdtEndPr>
        <w:rPr>
          <w:rFonts w:hint="eastAsia" w:ascii="Times New Roman" w:hAnsi="Times New Roman"/>
          <w:b/>
          <w:sz w:val="28"/>
        </w:rPr>
      </w:sdtEndPr>
      <w:sdtContent>
        <w:p w14:paraId="30E6E7B5">
          <w:pPr>
            <w:spacing w:line="240" w:lineRule="auto"/>
            <w:ind w:firstLine="0" w:firstLineChars="0"/>
            <w:jc w:val="center"/>
            <w:rPr>
              <w:b/>
              <w:sz w:val="44"/>
              <w:szCs w:val="28"/>
            </w:rPr>
          </w:pPr>
          <w:r>
            <w:rPr>
              <w:rFonts w:ascii="宋体" w:hAnsi="宋体"/>
              <w:b/>
              <w:sz w:val="44"/>
              <w:szCs w:val="28"/>
            </w:rPr>
            <w:t>目录</w:t>
          </w:r>
        </w:p>
        <w:p w14:paraId="0170EA3A">
          <w:pPr>
            <w:pStyle w:val="13"/>
            <w:tabs>
              <w:tab w:val="right" w:leader="dot" w:pos="8306"/>
            </w:tabs>
          </w:pPr>
          <w:r>
            <w:rPr>
              <w:rFonts w:hint="eastAsia"/>
              <w:szCs w:val="28"/>
            </w:rPr>
            <w:fldChar w:fldCharType="begin"/>
          </w:r>
          <w:r>
            <w:rPr>
              <w:rFonts w:hint="eastAsia"/>
              <w:szCs w:val="28"/>
            </w:rPr>
            <w:instrText xml:space="preserve">TOC \o "1-2" \h \u </w:instrText>
          </w:r>
          <w:r>
            <w:rPr>
              <w:rFonts w:hint="eastAsia"/>
              <w:szCs w:val="28"/>
            </w:rPr>
            <w:fldChar w:fldCharType="separate"/>
          </w:r>
          <w:r>
            <w:rPr>
              <w:rFonts w:hint="eastAsia"/>
              <w:szCs w:val="28"/>
            </w:rPr>
            <w:fldChar w:fldCharType="begin"/>
          </w:r>
          <w:r>
            <w:rPr>
              <w:rFonts w:hint="eastAsia"/>
              <w:szCs w:val="28"/>
            </w:rPr>
            <w:instrText xml:space="preserve"> HYPERLINK \l _Toc21177 </w:instrText>
          </w:r>
          <w:r>
            <w:rPr>
              <w:rFonts w:hint="eastAsia"/>
              <w:szCs w:val="28"/>
            </w:rPr>
            <w:fldChar w:fldCharType="separate"/>
          </w:r>
          <w:r>
            <w:rPr>
              <w:rFonts w:hint="eastAsia"/>
            </w:rPr>
            <w:t>第一章 生态环境保护形势</w:t>
          </w:r>
          <w:r>
            <w:tab/>
          </w:r>
          <w:r>
            <w:fldChar w:fldCharType="begin"/>
          </w:r>
          <w:r>
            <w:instrText xml:space="preserve"> PAGEREF _Toc21177 \h </w:instrText>
          </w:r>
          <w:r>
            <w:fldChar w:fldCharType="separate"/>
          </w:r>
          <w:r>
            <w:t>4</w:t>
          </w:r>
          <w:r>
            <w:fldChar w:fldCharType="end"/>
          </w:r>
          <w:r>
            <w:rPr>
              <w:rFonts w:hint="eastAsia"/>
              <w:szCs w:val="28"/>
            </w:rPr>
            <w:fldChar w:fldCharType="end"/>
          </w:r>
        </w:p>
        <w:p w14:paraId="4AC7A614">
          <w:pPr>
            <w:pStyle w:val="14"/>
            <w:tabs>
              <w:tab w:val="right" w:leader="dot" w:pos="8306"/>
            </w:tabs>
          </w:pPr>
          <w:r>
            <w:rPr>
              <w:rFonts w:hint="eastAsia"/>
              <w:szCs w:val="28"/>
            </w:rPr>
            <w:fldChar w:fldCharType="begin"/>
          </w:r>
          <w:r>
            <w:rPr>
              <w:rFonts w:hint="eastAsia"/>
              <w:szCs w:val="28"/>
            </w:rPr>
            <w:instrText xml:space="preserve"> HYPERLINK \l _Toc11403 </w:instrText>
          </w:r>
          <w:r>
            <w:rPr>
              <w:rFonts w:hint="eastAsia"/>
              <w:szCs w:val="28"/>
            </w:rPr>
            <w:fldChar w:fldCharType="separate"/>
          </w:r>
          <w:r>
            <w:rPr>
              <w:rFonts w:hint="eastAsia"/>
            </w:rPr>
            <w:t>第一节 “十三五”生态环境保护工作成效</w:t>
          </w:r>
          <w:r>
            <w:tab/>
          </w:r>
          <w:r>
            <w:fldChar w:fldCharType="begin"/>
          </w:r>
          <w:r>
            <w:instrText xml:space="preserve"> PAGEREF _Toc11403 \h </w:instrText>
          </w:r>
          <w:r>
            <w:fldChar w:fldCharType="separate"/>
          </w:r>
          <w:r>
            <w:t>4</w:t>
          </w:r>
          <w:r>
            <w:fldChar w:fldCharType="end"/>
          </w:r>
          <w:r>
            <w:rPr>
              <w:rFonts w:hint="eastAsia"/>
              <w:szCs w:val="28"/>
            </w:rPr>
            <w:fldChar w:fldCharType="end"/>
          </w:r>
        </w:p>
        <w:p w14:paraId="5DC08105">
          <w:pPr>
            <w:pStyle w:val="14"/>
            <w:tabs>
              <w:tab w:val="right" w:leader="dot" w:pos="8306"/>
            </w:tabs>
          </w:pPr>
          <w:r>
            <w:rPr>
              <w:rFonts w:hint="eastAsia"/>
              <w:szCs w:val="28"/>
            </w:rPr>
            <w:fldChar w:fldCharType="begin"/>
          </w:r>
          <w:r>
            <w:rPr>
              <w:rFonts w:hint="eastAsia"/>
              <w:szCs w:val="28"/>
            </w:rPr>
            <w:instrText xml:space="preserve"> HYPERLINK \l _Toc1399 </w:instrText>
          </w:r>
          <w:r>
            <w:rPr>
              <w:rFonts w:hint="eastAsia"/>
              <w:szCs w:val="28"/>
            </w:rPr>
            <w:fldChar w:fldCharType="separate"/>
          </w:r>
          <w:r>
            <w:rPr>
              <w:rFonts w:hint="eastAsia"/>
              <w:bCs/>
            </w:rPr>
            <w:t>第二节 “十三五”生态环境保护存在的主要问题</w:t>
          </w:r>
          <w:r>
            <w:tab/>
          </w:r>
          <w:r>
            <w:fldChar w:fldCharType="begin"/>
          </w:r>
          <w:r>
            <w:instrText xml:space="preserve"> PAGEREF _Toc1399 \h </w:instrText>
          </w:r>
          <w:r>
            <w:fldChar w:fldCharType="separate"/>
          </w:r>
          <w:r>
            <w:t>16</w:t>
          </w:r>
          <w:r>
            <w:fldChar w:fldCharType="end"/>
          </w:r>
          <w:r>
            <w:rPr>
              <w:rFonts w:hint="eastAsia"/>
              <w:szCs w:val="28"/>
            </w:rPr>
            <w:fldChar w:fldCharType="end"/>
          </w:r>
        </w:p>
        <w:p w14:paraId="6C093C5D">
          <w:pPr>
            <w:pStyle w:val="14"/>
            <w:tabs>
              <w:tab w:val="right" w:leader="dot" w:pos="8306"/>
            </w:tabs>
          </w:pPr>
          <w:r>
            <w:rPr>
              <w:rFonts w:hint="eastAsia"/>
              <w:szCs w:val="28"/>
            </w:rPr>
            <w:fldChar w:fldCharType="begin"/>
          </w:r>
          <w:r>
            <w:rPr>
              <w:rFonts w:hint="eastAsia"/>
              <w:szCs w:val="28"/>
            </w:rPr>
            <w:instrText xml:space="preserve"> HYPERLINK \l _Toc2300 </w:instrText>
          </w:r>
          <w:r>
            <w:rPr>
              <w:rFonts w:hint="eastAsia"/>
              <w:szCs w:val="28"/>
            </w:rPr>
            <w:fldChar w:fldCharType="separate"/>
          </w:r>
          <w:r>
            <w:rPr>
              <w:rFonts w:hint="eastAsia"/>
            </w:rPr>
            <w:t>第三节 “十四五”生态环境保护面临的机遇和挑战</w:t>
          </w:r>
          <w:r>
            <w:tab/>
          </w:r>
          <w:r>
            <w:fldChar w:fldCharType="begin"/>
          </w:r>
          <w:r>
            <w:instrText xml:space="preserve"> PAGEREF _Toc2300 \h </w:instrText>
          </w:r>
          <w:r>
            <w:fldChar w:fldCharType="separate"/>
          </w:r>
          <w:r>
            <w:t>17</w:t>
          </w:r>
          <w:r>
            <w:fldChar w:fldCharType="end"/>
          </w:r>
          <w:r>
            <w:rPr>
              <w:rFonts w:hint="eastAsia"/>
              <w:szCs w:val="28"/>
            </w:rPr>
            <w:fldChar w:fldCharType="end"/>
          </w:r>
        </w:p>
        <w:p w14:paraId="05771D10">
          <w:pPr>
            <w:pStyle w:val="13"/>
            <w:tabs>
              <w:tab w:val="right" w:leader="dot" w:pos="8306"/>
            </w:tabs>
          </w:pPr>
          <w:r>
            <w:rPr>
              <w:rFonts w:hint="eastAsia"/>
              <w:szCs w:val="28"/>
            </w:rPr>
            <w:fldChar w:fldCharType="begin"/>
          </w:r>
          <w:r>
            <w:rPr>
              <w:rFonts w:hint="eastAsia"/>
              <w:szCs w:val="28"/>
            </w:rPr>
            <w:instrText xml:space="preserve"> HYPERLINK \l _Toc20285 </w:instrText>
          </w:r>
          <w:r>
            <w:rPr>
              <w:rFonts w:hint="eastAsia"/>
              <w:szCs w:val="28"/>
            </w:rPr>
            <w:fldChar w:fldCharType="separate"/>
          </w:r>
          <w:r>
            <w:rPr>
              <w:rFonts w:hint="eastAsia"/>
            </w:rPr>
            <w:t>第二章 指导思想、基本原则、规划目标</w:t>
          </w:r>
          <w:r>
            <w:tab/>
          </w:r>
          <w:r>
            <w:fldChar w:fldCharType="begin"/>
          </w:r>
          <w:r>
            <w:instrText xml:space="preserve"> PAGEREF _Toc20285 \h </w:instrText>
          </w:r>
          <w:r>
            <w:fldChar w:fldCharType="separate"/>
          </w:r>
          <w:r>
            <w:t>21</w:t>
          </w:r>
          <w:r>
            <w:fldChar w:fldCharType="end"/>
          </w:r>
          <w:r>
            <w:rPr>
              <w:rFonts w:hint="eastAsia"/>
              <w:szCs w:val="28"/>
            </w:rPr>
            <w:fldChar w:fldCharType="end"/>
          </w:r>
        </w:p>
        <w:p w14:paraId="7DE423B9">
          <w:pPr>
            <w:pStyle w:val="14"/>
            <w:tabs>
              <w:tab w:val="right" w:leader="dot" w:pos="8306"/>
            </w:tabs>
          </w:pPr>
          <w:r>
            <w:rPr>
              <w:rFonts w:hint="eastAsia"/>
              <w:szCs w:val="28"/>
            </w:rPr>
            <w:fldChar w:fldCharType="begin"/>
          </w:r>
          <w:r>
            <w:rPr>
              <w:rFonts w:hint="eastAsia"/>
              <w:szCs w:val="28"/>
            </w:rPr>
            <w:instrText xml:space="preserve"> HYPERLINK \l _Toc22271 </w:instrText>
          </w:r>
          <w:r>
            <w:rPr>
              <w:rFonts w:hint="eastAsia"/>
              <w:szCs w:val="28"/>
            </w:rPr>
            <w:fldChar w:fldCharType="separate"/>
          </w:r>
          <w:r>
            <w:rPr>
              <w:rFonts w:hint="eastAsia"/>
            </w:rPr>
            <w:t>第一节 指导思想</w:t>
          </w:r>
          <w:r>
            <w:tab/>
          </w:r>
          <w:r>
            <w:fldChar w:fldCharType="begin"/>
          </w:r>
          <w:r>
            <w:instrText xml:space="preserve"> PAGEREF _Toc22271 \h </w:instrText>
          </w:r>
          <w:r>
            <w:fldChar w:fldCharType="separate"/>
          </w:r>
          <w:r>
            <w:t>21</w:t>
          </w:r>
          <w:r>
            <w:fldChar w:fldCharType="end"/>
          </w:r>
          <w:r>
            <w:rPr>
              <w:rFonts w:hint="eastAsia"/>
              <w:szCs w:val="28"/>
            </w:rPr>
            <w:fldChar w:fldCharType="end"/>
          </w:r>
        </w:p>
        <w:p w14:paraId="68E412CA">
          <w:pPr>
            <w:pStyle w:val="14"/>
            <w:tabs>
              <w:tab w:val="right" w:leader="dot" w:pos="8306"/>
            </w:tabs>
          </w:pPr>
          <w:r>
            <w:rPr>
              <w:rFonts w:hint="eastAsia"/>
              <w:szCs w:val="28"/>
            </w:rPr>
            <w:fldChar w:fldCharType="begin"/>
          </w:r>
          <w:r>
            <w:rPr>
              <w:rFonts w:hint="eastAsia"/>
              <w:szCs w:val="28"/>
            </w:rPr>
            <w:instrText xml:space="preserve"> HYPERLINK \l _Toc2395 </w:instrText>
          </w:r>
          <w:r>
            <w:rPr>
              <w:rFonts w:hint="eastAsia"/>
              <w:szCs w:val="28"/>
            </w:rPr>
            <w:fldChar w:fldCharType="separate"/>
          </w:r>
          <w:r>
            <w:rPr>
              <w:rFonts w:hint="eastAsia"/>
            </w:rPr>
            <w:t>第二节 基本原则</w:t>
          </w:r>
          <w:r>
            <w:tab/>
          </w:r>
          <w:r>
            <w:fldChar w:fldCharType="begin"/>
          </w:r>
          <w:r>
            <w:instrText xml:space="preserve"> PAGEREF _Toc2395 \h </w:instrText>
          </w:r>
          <w:r>
            <w:fldChar w:fldCharType="separate"/>
          </w:r>
          <w:r>
            <w:t>21</w:t>
          </w:r>
          <w:r>
            <w:fldChar w:fldCharType="end"/>
          </w:r>
          <w:r>
            <w:rPr>
              <w:rFonts w:hint="eastAsia"/>
              <w:szCs w:val="28"/>
            </w:rPr>
            <w:fldChar w:fldCharType="end"/>
          </w:r>
        </w:p>
        <w:p w14:paraId="4A66596B">
          <w:pPr>
            <w:pStyle w:val="14"/>
            <w:tabs>
              <w:tab w:val="right" w:leader="dot" w:pos="8306"/>
            </w:tabs>
          </w:pPr>
          <w:r>
            <w:rPr>
              <w:rFonts w:hint="eastAsia"/>
              <w:szCs w:val="28"/>
            </w:rPr>
            <w:fldChar w:fldCharType="begin"/>
          </w:r>
          <w:r>
            <w:rPr>
              <w:rFonts w:hint="eastAsia"/>
              <w:szCs w:val="28"/>
            </w:rPr>
            <w:instrText xml:space="preserve"> HYPERLINK \l _Toc18895 </w:instrText>
          </w:r>
          <w:r>
            <w:rPr>
              <w:rFonts w:hint="eastAsia"/>
              <w:szCs w:val="28"/>
            </w:rPr>
            <w:fldChar w:fldCharType="separate"/>
          </w:r>
          <w:r>
            <w:rPr>
              <w:rFonts w:hint="eastAsia"/>
            </w:rPr>
            <w:t>第三节 规划目标</w:t>
          </w:r>
          <w:r>
            <w:tab/>
          </w:r>
          <w:r>
            <w:fldChar w:fldCharType="begin"/>
          </w:r>
          <w:r>
            <w:instrText xml:space="preserve"> PAGEREF _Toc18895 \h </w:instrText>
          </w:r>
          <w:r>
            <w:fldChar w:fldCharType="separate"/>
          </w:r>
          <w:r>
            <w:t>23</w:t>
          </w:r>
          <w:r>
            <w:fldChar w:fldCharType="end"/>
          </w:r>
          <w:r>
            <w:rPr>
              <w:rFonts w:hint="eastAsia"/>
              <w:szCs w:val="28"/>
            </w:rPr>
            <w:fldChar w:fldCharType="end"/>
          </w:r>
        </w:p>
        <w:p w14:paraId="6948095C">
          <w:pPr>
            <w:pStyle w:val="13"/>
            <w:tabs>
              <w:tab w:val="right" w:leader="dot" w:pos="8306"/>
            </w:tabs>
          </w:pPr>
          <w:r>
            <w:rPr>
              <w:rFonts w:hint="eastAsia"/>
              <w:szCs w:val="28"/>
            </w:rPr>
            <w:fldChar w:fldCharType="begin"/>
          </w:r>
          <w:r>
            <w:rPr>
              <w:rFonts w:hint="eastAsia"/>
              <w:szCs w:val="28"/>
            </w:rPr>
            <w:instrText xml:space="preserve"> HYPERLINK \l _Toc9354 </w:instrText>
          </w:r>
          <w:r>
            <w:rPr>
              <w:rFonts w:hint="eastAsia"/>
              <w:szCs w:val="28"/>
            </w:rPr>
            <w:fldChar w:fldCharType="separate"/>
          </w:r>
          <w:r>
            <w:rPr>
              <w:rFonts w:hint="eastAsia"/>
            </w:rPr>
            <w:t>第三章 坚持绿色低碳发展，建设美好和谐家园</w:t>
          </w:r>
          <w:r>
            <w:tab/>
          </w:r>
          <w:r>
            <w:fldChar w:fldCharType="begin"/>
          </w:r>
          <w:r>
            <w:instrText xml:space="preserve"> PAGEREF _Toc9354 \h </w:instrText>
          </w:r>
          <w:r>
            <w:fldChar w:fldCharType="separate"/>
          </w:r>
          <w:r>
            <w:t>26</w:t>
          </w:r>
          <w:r>
            <w:fldChar w:fldCharType="end"/>
          </w:r>
          <w:r>
            <w:rPr>
              <w:rFonts w:hint="eastAsia"/>
              <w:szCs w:val="28"/>
            </w:rPr>
            <w:fldChar w:fldCharType="end"/>
          </w:r>
        </w:p>
        <w:p w14:paraId="7ADBABCA">
          <w:pPr>
            <w:pStyle w:val="14"/>
            <w:tabs>
              <w:tab w:val="right" w:leader="dot" w:pos="8306"/>
            </w:tabs>
          </w:pPr>
          <w:r>
            <w:rPr>
              <w:rFonts w:hint="eastAsia"/>
              <w:szCs w:val="28"/>
            </w:rPr>
            <w:fldChar w:fldCharType="begin"/>
          </w:r>
          <w:r>
            <w:rPr>
              <w:rFonts w:hint="eastAsia"/>
              <w:szCs w:val="28"/>
            </w:rPr>
            <w:instrText xml:space="preserve"> HYPERLINK \l _Toc6151 </w:instrText>
          </w:r>
          <w:r>
            <w:rPr>
              <w:rFonts w:hint="eastAsia"/>
              <w:szCs w:val="28"/>
            </w:rPr>
            <w:fldChar w:fldCharType="separate"/>
          </w:r>
          <w:r>
            <w:rPr>
              <w:rFonts w:hint="eastAsia"/>
            </w:rPr>
            <w:t>第一节 强化资源节约集约</w:t>
          </w:r>
          <w:r>
            <w:tab/>
          </w:r>
          <w:r>
            <w:fldChar w:fldCharType="begin"/>
          </w:r>
          <w:r>
            <w:instrText xml:space="preserve"> PAGEREF _Toc6151 \h </w:instrText>
          </w:r>
          <w:r>
            <w:fldChar w:fldCharType="separate"/>
          </w:r>
          <w:r>
            <w:t>26</w:t>
          </w:r>
          <w:r>
            <w:fldChar w:fldCharType="end"/>
          </w:r>
          <w:r>
            <w:rPr>
              <w:rFonts w:hint="eastAsia"/>
              <w:szCs w:val="28"/>
            </w:rPr>
            <w:fldChar w:fldCharType="end"/>
          </w:r>
        </w:p>
        <w:p w14:paraId="2DFD46C7">
          <w:pPr>
            <w:pStyle w:val="14"/>
            <w:tabs>
              <w:tab w:val="right" w:leader="dot" w:pos="8306"/>
            </w:tabs>
          </w:pPr>
          <w:r>
            <w:rPr>
              <w:rFonts w:hint="eastAsia"/>
              <w:szCs w:val="28"/>
            </w:rPr>
            <w:fldChar w:fldCharType="begin"/>
          </w:r>
          <w:r>
            <w:rPr>
              <w:rFonts w:hint="eastAsia"/>
              <w:szCs w:val="28"/>
            </w:rPr>
            <w:instrText xml:space="preserve"> HYPERLINK \l _Toc27311 </w:instrText>
          </w:r>
          <w:r>
            <w:rPr>
              <w:rFonts w:hint="eastAsia"/>
              <w:szCs w:val="28"/>
            </w:rPr>
            <w:fldChar w:fldCharType="separate"/>
          </w:r>
          <w:r>
            <w:rPr>
              <w:rFonts w:hint="eastAsia"/>
            </w:rPr>
            <w:t>第二节 倡导绿色低碳发展</w:t>
          </w:r>
          <w:r>
            <w:tab/>
          </w:r>
          <w:r>
            <w:fldChar w:fldCharType="begin"/>
          </w:r>
          <w:r>
            <w:instrText xml:space="preserve"> PAGEREF _Toc27311 \h </w:instrText>
          </w:r>
          <w:r>
            <w:fldChar w:fldCharType="separate"/>
          </w:r>
          <w:r>
            <w:t>29</w:t>
          </w:r>
          <w:r>
            <w:fldChar w:fldCharType="end"/>
          </w:r>
          <w:r>
            <w:rPr>
              <w:rFonts w:hint="eastAsia"/>
              <w:szCs w:val="28"/>
            </w:rPr>
            <w:fldChar w:fldCharType="end"/>
          </w:r>
        </w:p>
        <w:p w14:paraId="6F67AC1A">
          <w:pPr>
            <w:pStyle w:val="14"/>
            <w:tabs>
              <w:tab w:val="right" w:leader="dot" w:pos="8306"/>
            </w:tabs>
          </w:pPr>
          <w:r>
            <w:rPr>
              <w:rFonts w:hint="eastAsia"/>
              <w:szCs w:val="28"/>
            </w:rPr>
            <w:fldChar w:fldCharType="begin"/>
          </w:r>
          <w:r>
            <w:rPr>
              <w:rFonts w:hint="eastAsia"/>
              <w:szCs w:val="28"/>
            </w:rPr>
            <w:instrText xml:space="preserve"> HYPERLINK \l _Toc715 </w:instrText>
          </w:r>
          <w:r>
            <w:rPr>
              <w:rFonts w:hint="eastAsia"/>
              <w:szCs w:val="28"/>
            </w:rPr>
            <w:fldChar w:fldCharType="separate"/>
          </w:r>
          <w:r>
            <w:rPr>
              <w:rFonts w:hint="eastAsia"/>
            </w:rPr>
            <w:t>第三节 坚持减污降碳，积极应对气候变化</w:t>
          </w:r>
          <w:r>
            <w:tab/>
          </w:r>
          <w:r>
            <w:fldChar w:fldCharType="begin"/>
          </w:r>
          <w:r>
            <w:instrText xml:space="preserve"> PAGEREF _Toc715 \h </w:instrText>
          </w:r>
          <w:r>
            <w:fldChar w:fldCharType="separate"/>
          </w:r>
          <w:r>
            <w:t>34</w:t>
          </w:r>
          <w:r>
            <w:fldChar w:fldCharType="end"/>
          </w:r>
          <w:r>
            <w:rPr>
              <w:rFonts w:hint="eastAsia"/>
              <w:szCs w:val="28"/>
            </w:rPr>
            <w:fldChar w:fldCharType="end"/>
          </w:r>
        </w:p>
        <w:p w14:paraId="34979012">
          <w:pPr>
            <w:pStyle w:val="13"/>
            <w:tabs>
              <w:tab w:val="right" w:leader="dot" w:pos="8306"/>
            </w:tabs>
          </w:pPr>
          <w:r>
            <w:rPr>
              <w:rFonts w:hint="eastAsia"/>
              <w:szCs w:val="28"/>
            </w:rPr>
            <w:fldChar w:fldCharType="begin"/>
          </w:r>
          <w:r>
            <w:rPr>
              <w:rFonts w:hint="eastAsia"/>
              <w:szCs w:val="28"/>
            </w:rPr>
            <w:instrText xml:space="preserve"> HYPERLINK \l _Toc1008 </w:instrText>
          </w:r>
          <w:r>
            <w:rPr>
              <w:rFonts w:hint="eastAsia"/>
              <w:szCs w:val="28"/>
            </w:rPr>
            <w:fldChar w:fldCharType="separate"/>
          </w:r>
          <w:r>
            <w:rPr>
              <w:rFonts w:hint="eastAsia"/>
            </w:rPr>
            <w:t>第四章 持续打好污染防治攻坚战，改善生态环境质量</w:t>
          </w:r>
          <w:r>
            <w:tab/>
          </w:r>
          <w:r>
            <w:fldChar w:fldCharType="begin"/>
          </w:r>
          <w:r>
            <w:instrText xml:space="preserve"> PAGEREF _Toc1008 \h </w:instrText>
          </w:r>
          <w:r>
            <w:fldChar w:fldCharType="separate"/>
          </w:r>
          <w:r>
            <w:t>36</w:t>
          </w:r>
          <w:r>
            <w:fldChar w:fldCharType="end"/>
          </w:r>
          <w:r>
            <w:rPr>
              <w:rFonts w:hint="eastAsia"/>
              <w:szCs w:val="28"/>
            </w:rPr>
            <w:fldChar w:fldCharType="end"/>
          </w:r>
        </w:p>
        <w:p w14:paraId="602B127C">
          <w:pPr>
            <w:pStyle w:val="14"/>
            <w:tabs>
              <w:tab w:val="right" w:leader="dot" w:pos="8306"/>
            </w:tabs>
          </w:pPr>
          <w:r>
            <w:rPr>
              <w:rFonts w:hint="eastAsia"/>
              <w:szCs w:val="28"/>
            </w:rPr>
            <w:fldChar w:fldCharType="begin"/>
          </w:r>
          <w:r>
            <w:rPr>
              <w:rFonts w:hint="eastAsia"/>
              <w:szCs w:val="28"/>
            </w:rPr>
            <w:instrText xml:space="preserve"> HYPERLINK \l _Toc30473 </w:instrText>
          </w:r>
          <w:r>
            <w:rPr>
              <w:rFonts w:hint="eastAsia"/>
              <w:szCs w:val="28"/>
            </w:rPr>
            <w:fldChar w:fldCharType="separate"/>
          </w:r>
          <w:r>
            <w:rPr>
              <w:rFonts w:hint="eastAsia"/>
            </w:rPr>
            <w:t>第一节 坚持源头控制和末端治理，持续改善大气环境</w:t>
          </w:r>
          <w:r>
            <w:tab/>
          </w:r>
          <w:r>
            <w:fldChar w:fldCharType="begin"/>
          </w:r>
          <w:r>
            <w:instrText xml:space="preserve"> PAGEREF _Toc30473 \h </w:instrText>
          </w:r>
          <w:r>
            <w:fldChar w:fldCharType="separate"/>
          </w:r>
          <w:r>
            <w:t>36</w:t>
          </w:r>
          <w:r>
            <w:fldChar w:fldCharType="end"/>
          </w:r>
          <w:r>
            <w:rPr>
              <w:rFonts w:hint="eastAsia"/>
              <w:szCs w:val="28"/>
            </w:rPr>
            <w:fldChar w:fldCharType="end"/>
          </w:r>
        </w:p>
        <w:p w14:paraId="65511ED9">
          <w:pPr>
            <w:pStyle w:val="14"/>
            <w:tabs>
              <w:tab w:val="right" w:leader="dot" w:pos="8306"/>
            </w:tabs>
          </w:pPr>
          <w:r>
            <w:rPr>
              <w:rFonts w:hint="eastAsia"/>
              <w:szCs w:val="28"/>
            </w:rPr>
            <w:fldChar w:fldCharType="begin"/>
          </w:r>
          <w:r>
            <w:rPr>
              <w:rFonts w:hint="eastAsia"/>
              <w:szCs w:val="28"/>
            </w:rPr>
            <w:instrText xml:space="preserve"> HYPERLINK \l _Toc342 </w:instrText>
          </w:r>
          <w:r>
            <w:rPr>
              <w:rFonts w:hint="eastAsia"/>
              <w:szCs w:val="28"/>
            </w:rPr>
            <w:fldChar w:fldCharType="separate"/>
          </w:r>
          <w:r>
            <w:rPr>
              <w:rFonts w:hint="eastAsia"/>
            </w:rPr>
            <w:t>第二节 全面深化水污染治理，稳步提升水生态环境</w:t>
          </w:r>
          <w:r>
            <w:tab/>
          </w:r>
          <w:r>
            <w:fldChar w:fldCharType="begin"/>
          </w:r>
          <w:r>
            <w:instrText xml:space="preserve"> PAGEREF _Toc342 \h </w:instrText>
          </w:r>
          <w:r>
            <w:fldChar w:fldCharType="separate"/>
          </w:r>
          <w:r>
            <w:t>41</w:t>
          </w:r>
          <w:r>
            <w:fldChar w:fldCharType="end"/>
          </w:r>
          <w:r>
            <w:rPr>
              <w:rFonts w:hint="eastAsia"/>
              <w:szCs w:val="28"/>
            </w:rPr>
            <w:fldChar w:fldCharType="end"/>
          </w:r>
        </w:p>
        <w:p w14:paraId="767C41A3">
          <w:pPr>
            <w:pStyle w:val="14"/>
            <w:tabs>
              <w:tab w:val="right" w:leader="dot" w:pos="8306"/>
            </w:tabs>
          </w:pPr>
          <w:r>
            <w:rPr>
              <w:rFonts w:hint="eastAsia"/>
              <w:szCs w:val="28"/>
            </w:rPr>
            <w:fldChar w:fldCharType="begin"/>
          </w:r>
          <w:r>
            <w:rPr>
              <w:rFonts w:hint="eastAsia"/>
              <w:szCs w:val="28"/>
            </w:rPr>
            <w:instrText xml:space="preserve"> HYPERLINK \l _Toc8727 </w:instrText>
          </w:r>
          <w:r>
            <w:rPr>
              <w:rFonts w:hint="eastAsia"/>
              <w:szCs w:val="28"/>
            </w:rPr>
            <w:fldChar w:fldCharType="separate"/>
          </w:r>
          <w:r>
            <w:rPr>
              <w:rFonts w:hint="eastAsia"/>
            </w:rPr>
            <w:t>第三节 加强土壤环境质量监管，坚决维护土壤环境</w:t>
          </w:r>
          <w:r>
            <w:tab/>
          </w:r>
          <w:r>
            <w:fldChar w:fldCharType="begin"/>
          </w:r>
          <w:r>
            <w:instrText xml:space="preserve"> PAGEREF _Toc8727 \h </w:instrText>
          </w:r>
          <w:r>
            <w:fldChar w:fldCharType="separate"/>
          </w:r>
          <w:r>
            <w:t>45</w:t>
          </w:r>
          <w:r>
            <w:fldChar w:fldCharType="end"/>
          </w:r>
          <w:r>
            <w:rPr>
              <w:rFonts w:hint="eastAsia"/>
              <w:szCs w:val="28"/>
            </w:rPr>
            <w:fldChar w:fldCharType="end"/>
          </w:r>
        </w:p>
        <w:p w14:paraId="4EBBF298">
          <w:pPr>
            <w:pStyle w:val="14"/>
            <w:tabs>
              <w:tab w:val="right" w:leader="dot" w:pos="8306"/>
            </w:tabs>
          </w:pPr>
          <w:r>
            <w:rPr>
              <w:rFonts w:hint="eastAsia"/>
              <w:szCs w:val="28"/>
            </w:rPr>
            <w:fldChar w:fldCharType="begin"/>
          </w:r>
          <w:r>
            <w:rPr>
              <w:rFonts w:hint="eastAsia"/>
              <w:szCs w:val="28"/>
            </w:rPr>
            <w:instrText xml:space="preserve"> HYPERLINK \l _Toc394 </w:instrText>
          </w:r>
          <w:r>
            <w:rPr>
              <w:rFonts w:hint="eastAsia"/>
              <w:szCs w:val="28"/>
            </w:rPr>
            <w:fldChar w:fldCharType="separate"/>
          </w:r>
          <w:r>
            <w:rPr>
              <w:rFonts w:hint="eastAsia"/>
            </w:rPr>
            <w:t>第四节 强化噪声污染防治，逐步提高声环境质量</w:t>
          </w:r>
          <w:r>
            <w:tab/>
          </w:r>
          <w:r>
            <w:fldChar w:fldCharType="begin"/>
          </w:r>
          <w:r>
            <w:instrText xml:space="preserve"> PAGEREF _Toc394 \h </w:instrText>
          </w:r>
          <w:r>
            <w:fldChar w:fldCharType="separate"/>
          </w:r>
          <w:r>
            <w:t>51</w:t>
          </w:r>
          <w:r>
            <w:fldChar w:fldCharType="end"/>
          </w:r>
          <w:r>
            <w:rPr>
              <w:rFonts w:hint="eastAsia"/>
              <w:szCs w:val="28"/>
            </w:rPr>
            <w:fldChar w:fldCharType="end"/>
          </w:r>
        </w:p>
        <w:p w14:paraId="36C92ACB">
          <w:pPr>
            <w:pStyle w:val="14"/>
            <w:tabs>
              <w:tab w:val="right" w:leader="dot" w:pos="8306"/>
            </w:tabs>
          </w:pPr>
          <w:r>
            <w:rPr>
              <w:rFonts w:hint="eastAsia"/>
              <w:szCs w:val="28"/>
            </w:rPr>
            <w:fldChar w:fldCharType="begin"/>
          </w:r>
          <w:r>
            <w:rPr>
              <w:rFonts w:hint="eastAsia"/>
              <w:szCs w:val="28"/>
            </w:rPr>
            <w:instrText xml:space="preserve"> HYPERLINK \l _Toc23548 </w:instrText>
          </w:r>
          <w:r>
            <w:rPr>
              <w:rFonts w:hint="eastAsia"/>
              <w:szCs w:val="28"/>
            </w:rPr>
            <w:fldChar w:fldCharType="separate"/>
          </w:r>
          <w:r>
            <w:rPr>
              <w:rFonts w:hint="eastAsia"/>
            </w:rPr>
            <w:t>第五节 推进农业农村污染治理，全力打造美丽乡村</w:t>
          </w:r>
          <w:r>
            <w:tab/>
          </w:r>
          <w:r>
            <w:fldChar w:fldCharType="begin"/>
          </w:r>
          <w:r>
            <w:instrText xml:space="preserve"> PAGEREF _Toc23548 \h </w:instrText>
          </w:r>
          <w:r>
            <w:fldChar w:fldCharType="separate"/>
          </w:r>
          <w:r>
            <w:t>52</w:t>
          </w:r>
          <w:r>
            <w:fldChar w:fldCharType="end"/>
          </w:r>
          <w:r>
            <w:rPr>
              <w:rFonts w:hint="eastAsia"/>
              <w:szCs w:val="28"/>
            </w:rPr>
            <w:fldChar w:fldCharType="end"/>
          </w:r>
        </w:p>
        <w:p w14:paraId="27592BA1">
          <w:pPr>
            <w:pStyle w:val="14"/>
            <w:tabs>
              <w:tab w:val="right" w:leader="dot" w:pos="8306"/>
            </w:tabs>
          </w:pPr>
          <w:r>
            <w:rPr>
              <w:rFonts w:hint="eastAsia"/>
              <w:szCs w:val="28"/>
            </w:rPr>
            <w:fldChar w:fldCharType="begin"/>
          </w:r>
          <w:r>
            <w:rPr>
              <w:rFonts w:hint="eastAsia"/>
              <w:szCs w:val="28"/>
            </w:rPr>
            <w:instrText xml:space="preserve"> HYPERLINK \l _Toc26739 </w:instrText>
          </w:r>
          <w:r>
            <w:rPr>
              <w:rFonts w:hint="eastAsia"/>
              <w:szCs w:val="28"/>
            </w:rPr>
            <w:fldChar w:fldCharType="separate"/>
          </w:r>
          <w:r>
            <w:rPr>
              <w:rFonts w:hint="eastAsia"/>
            </w:rPr>
            <w:t>第六节 有序推进突出问题整改</w:t>
          </w:r>
          <w:r>
            <w:tab/>
          </w:r>
          <w:r>
            <w:fldChar w:fldCharType="begin"/>
          </w:r>
          <w:r>
            <w:instrText xml:space="preserve"> PAGEREF _Toc26739 \h </w:instrText>
          </w:r>
          <w:r>
            <w:fldChar w:fldCharType="separate"/>
          </w:r>
          <w:r>
            <w:t>55</w:t>
          </w:r>
          <w:r>
            <w:fldChar w:fldCharType="end"/>
          </w:r>
          <w:r>
            <w:rPr>
              <w:rFonts w:hint="eastAsia"/>
              <w:szCs w:val="28"/>
            </w:rPr>
            <w:fldChar w:fldCharType="end"/>
          </w:r>
        </w:p>
        <w:p w14:paraId="7E0C6BAD">
          <w:pPr>
            <w:pStyle w:val="13"/>
            <w:tabs>
              <w:tab w:val="right" w:leader="dot" w:pos="8306"/>
            </w:tabs>
          </w:pPr>
          <w:r>
            <w:rPr>
              <w:rFonts w:hint="eastAsia"/>
              <w:szCs w:val="28"/>
            </w:rPr>
            <w:fldChar w:fldCharType="begin"/>
          </w:r>
          <w:r>
            <w:rPr>
              <w:rFonts w:hint="eastAsia"/>
              <w:szCs w:val="28"/>
            </w:rPr>
            <w:instrText xml:space="preserve"> HYPERLINK \l _Toc7449 </w:instrText>
          </w:r>
          <w:r>
            <w:rPr>
              <w:rFonts w:hint="eastAsia"/>
              <w:szCs w:val="28"/>
            </w:rPr>
            <w:fldChar w:fldCharType="separate"/>
          </w:r>
          <w:r>
            <w:rPr>
              <w:rFonts w:hint="eastAsia"/>
            </w:rPr>
            <w:t>第五章 强化生态保护修复，优化国土空间开发格局</w:t>
          </w:r>
          <w:r>
            <w:tab/>
          </w:r>
          <w:r>
            <w:fldChar w:fldCharType="begin"/>
          </w:r>
          <w:r>
            <w:instrText xml:space="preserve"> PAGEREF _Toc7449 \h </w:instrText>
          </w:r>
          <w:r>
            <w:fldChar w:fldCharType="separate"/>
          </w:r>
          <w:r>
            <w:t>57</w:t>
          </w:r>
          <w:r>
            <w:fldChar w:fldCharType="end"/>
          </w:r>
          <w:r>
            <w:rPr>
              <w:rFonts w:hint="eastAsia"/>
              <w:szCs w:val="28"/>
            </w:rPr>
            <w:fldChar w:fldCharType="end"/>
          </w:r>
        </w:p>
        <w:p w14:paraId="3488E97A">
          <w:pPr>
            <w:pStyle w:val="14"/>
            <w:tabs>
              <w:tab w:val="right" w:leader="dot" w:pos="8306"/>
            </w:tabs>
          </w:pPr>
          <w:r>
            <w:rPr>
              <w:rFonts w:hint="eastAsia"/>
              <w:szCs w:val="28"/>
            </w:rPr>
            <w:fldChar w:fldCharType="begin"/>
          </w:r>
          <w:r>
            <w:rPr>
              <w:rFonts w:hint="eastAsia"/>
              <w:szCs w:val="28"/>
            </w:rPr>
            <w:instrText xml:space="preserve"> HYPERLINK \l _Toc10425 </w:instrText>
          </w:r>
          <w:r>
            <w:rPr>
              <w:rFonts w:hint="eastAsia"/>
              <w:szCs w:val="28"/>
            </w:rPr>
            <w:fldChar w:fldCharType="separate"/>
          </w:r>
          <w:r>
            <w:rPr>
              <w:rFonts w:hint="eastAsia"/>
            </w:rPr>
            <w:t>第一节 优化国土空间开发保护格局</w:t>
          </w:r>
          <w:r>
            <w:tab/>
          </w:r>
          <w:r>
            <w:fldChar w:fldCharType="begin"/>
          </w:r>
          <w:r>
            <w:instrText xml:space="preserve"> PAGEREF _Toc10425 \h </w:instrText>
          </w:r>
          <w:r>
            <w:fldChar w:fldCharType="separate"/>
          </w:r>
          <w:r>
            <w:t>57</w:t>
          </w:r>
          <w:r>
            <w:fldChar w:fldCharType="end"/>
          </w:r>
          <w:r>
            <w:rPr>
              <w:rFonts w:hint="eastAsia"/>
              <w:szCs w:val="28"/>
            </w:rPr>
            <w:fldChar w:fldCharType="end"/>
          </w:r>
        </w:p>
        <w:p w14:paraId="3DE1EF9E">
          <w:pPr>
            <w:pStyle w:val="14"/>
            <w:tabs>
              <w:tab w:val="right" w:leader="dot" w:pos="8306"/>
            </w:tabs>
          </w:pPr>
          <w:r>
            <w:rPr>
              <w:rFonts w:hint="eastAsia"/>
              <w:szCs w:val="28"/>
            </w:rPr>
            <w:fldChar w:fldCharType="begin"/>
          </w:r>
          <w:r>
            <w:rPr>
              <w:rFonts w:hint="eastAsia"/>
              <w:szCs w:val="28"/>
            </w:rPr>
            <w:instrText xml:space="preserve"> HYPERLINK \l _Toc8725 </w:instrText>
          </w:r>
          <w:r>
            <w:rPr>
              <w:rFonts w:hint="eastAsia"/>
              <w:szCs w:val="28"/>
            </w:rPr>
            <w:fldChar w:fldCharType="separate"/>
          </w:r>
          <w:r>
            <w:rPr>
              <w:rFonts w:hint="eastAsia"/>
            </w:rPr>
            <w:t>第二节 建立健全生态系统保护、修复与补偿机制</w:t>
          </w:r>
          <w:r>
            <w:tab/>
          </w:r>
          <w:r>
            <w:fldChar w:fldCharType="begin"/>
          </w:r>
          <w:r>
            <w:instrText xml:space="preserve"> PAGEREF _Toc8725 \h </w:instrText>
          </w:r>
          <w:r>
            <w:fldChar w:fldCharType="separate"/>
          </w:r>
          <w:r>
            <w:t>60</w:t>
          </w:r>
          <w:r>
            <w:fldChar w:fldCharType="end"/>
          </w:r>
          <w:r>
            <w:rPr>
              <w:rFonts w:hint="eastAsia"/>
              <w:szCs w:val="28"/>
            </w:rPr>
            <w:fldChar w:fldCharType="end"/>
          </w:r>
        </w:p>
        <w:p w14:paraId="1C18EE3A">
          <w:pPr>
            <w:pStyle w:val="14"/>
            <w:tabs>
              <w:tab w:val="right" w:leader="dot" w:pos="8306"/>
            </w:tabs>
          </w:pPr>
          <w:r>
            <w:rPr>
              <w:rFonts w:hint="eastAsia"/>
              <w:szCs w:val="28"/>
            </w:rPr>
            <w:fldChar w:fldCharType="begin"/>
          </w:r>
          <w:r>
            <w:rPr>
              <w:rFonts w:hint="eastAsia"/>
              <w:szCs w:val="28"/>
            </w:rPr>
            <w:instrText xml:space="preserve"> HYPERLINK \l _Toc22142 </w:instrText>
          </w:r>
          <w:r>
            <w:rPr>
              <w:rFonts w:hint="eastAsia"/>
              <w:szCs w:val="28"/>
            </w:rPr>
            <w:fldChar w:fldCharType="separate"/>
          </w:r>
          <w:r>
            <w:rPr>
              <w:rFonts w:hint="eastAsia"/>
            </w:rPr>
            <w:t>第三节 探索生态文明建设新模式</w:t>
          </w:r>
          <w:r>
            <w:tab/>
          </w:r>
          <w:r>
            <w:fldChar w:fldCharType="begin"/>
          </w:r>
          <w:r>
            <w:instrText xml:space="preserve"> PAGEREF _Toc22142 \h </w:instrText>
          </w:r>
          <w:r>
            <w:fldChar w:fldCharType="separate"/>
          </w:r>
          <w:r>
            <w:t>62</w:t>
          </w:r>
          <w:r>
            <w:fldChar w:fldCharType="end"/>
          </w:r>
          <w:r>
            <w:rPr>
              <w:rFonts w:hint="eastAsia"/>
              <w:szCs w:val="28"/>
            </w:rPr>
            <w:fldChar w:fldCharType="end"/>
          </w:r>
        </w:p>
        <w:p w14:paraId="2A6CB8D2">
          <w:pPr>
            <w:pStyle w:val="13"/>
            <w:tabs>
              <w:tab w:val="right" w:leader="dot" w:pos="8306"/>
            </w:tabs>
          </w:pPr>
          <w:r>
            <w:rPr>
              <w:rFonts w:hint="eastAsia"/>
              <w:szCs w:val="28"/>
            </w:rPr>
            <w:fldChar w:fldCharType="begin"/>
          </w:r>
          <w:r>
            <w:rPr>
              <w:rFonts w:hint="eastAsia"/>
              <w:szCs w:val="28"/>
            </w:rPr>
            <w:instrText xml:space="preserve"> HYPERLINK \l _Toc14393 </w:instrText>
          </w:r>
          <w:r>
            <w:rPr>
              <w:rFonts w:hint="eastAsia"/>
              <w:szCs w:val="28"/>
            </w:rPr>
            <w:fldChar w:fldCharType="separate"/>
          </w:r>
          <w:r>
            <w:rPr>
              <w:rFonts w:hint="eastAsia"/>
            </w:rPr>
            <w:t>第六章 建立健全风险防控体系，有效保障生态安全</w:t>
          </w:r>
          <w:r>
            <w:tab/>
          </w:r>
          <w:r>
            <w:fldChar w:fldCharType="begin"/>
          </w:r>
          <w:r>
            <w:instrText xml:space="preserve"> PAGEREF _Toc14393 \h </w:instrText>
          </w:r>
          <w:r>
            <w:fldChar w:fldCharType="separate"/>
          </w:r>
          <w:r>
            <w:t>65</w:t>
          </w:r>
          <w:r>
            <w:fldChar w:fldCharType="end"/>
          </w:r>
          <w:r>
            <w:rPr>
              <w:rFonts w:hint="eastAsia"/>
              <w:szCs w:val="28"/>
            </w:rPr>
            <w:fldChar w:fldCharType="end"/>
          </w:r>
        </w:p>
        <w:p w14:paraId="3FA5C992">
          <w:pPr>
            <w:pStyle w:val="14"/>
            <w:tabs>
              <w:tab w:val="right" w:leader="dot" w:pos="8306"/>
            </w:tabs>
          </w:pPr>
          <w:r>
            <w:rPr>
              <w:rFonts w:hint="eastAsia"/>
              <w:szCs w:val="28"/>
            </w:rPr>
            <w:fldChar w:fldCharType="begin"/>
          </w:r>
          <w:r>
            <w:rPr>
              <w:rFonts w:hint="eastAsia"/>
              <w:szCs w:val="28"/>
            </w:rPr>
            <w:instrText xml:space="preserve"> HYPERLINK \l _Toc13520 </w:instrText>
          </w:r>
          <w:r>
            <w:rPr>
              <w:rFonts w:hint="eastAsia"/>
              <w:szCs w:val="28"/>
            </w:rPr>
            <w:fldChar w:fldCharType="separate"/>
          </w:r>
          <w:r>
            <w:rPr>
              <w:rFonts w:hint="eastAsia"/>
            </w:rPr>
            <w:t>第一节 建立健全环境风险防控和应急响应机制</w:t>
          </w:r>
          <w:r>
            <w:tab/>
          </w:r>
          <w:r>
            <w:fldChar w:fldCharType="begin"/>
          </w:r>
          <w:r>
            <w:instrText xml:space="preserve"> PAGEREF _Toc13520 \h </w:instrText>
          </w:r>
          <w:r>
            <w:fldChar w:fldCharType="separate"/>
          </w:r>
          <w:r>
            <w:t>65</w:t>
          </w:r>
          <w:r>
            <w:fldChar w:fldCharType="end"/>
          </w:r>
          <w:r>
            <w:rPr>
              <w:rFonts w:hint="eastAsia"/>
              <w:szCs w:val="28"/>
            </w:rPr>
            <w:fldChar w:fldCharType="end"/>
          </w:r>
        </w:p>
        <w:p w14:paraId="7DA7E396">
          <w:pPr>
            <w:pStyle w:val="14"/>
            <w:tabs>
              <w:tab w:val="right" w:leader="dot" w:pos="8306"/>
            </w:tabs>
          </w:pPr>
          <w:r>
            <w:rPr>
              <w:rFonts w:hint="eastAsia"/>
              <w:szCs w:val="28"/>
            </w:rPr>
            <w:fldChar w:fldCharType="begin"/>
          </w:r>
          <w:r>
            <w:rPr>
              <w:rFonts w:hint="eastAsia"/>
              <w:szCs w:val="28"/>
            </w:rPr>
            <w:instrText xml:space="preserve"> HYPERLINK \l _Toc15778 </w:instrText>
          </w:r>
          <w:r>
            <w:rPr>
              <w:rFonts w:hint="eastAsia"/>
              <w:szCs w:val="28"/>
            </w:rPr>
            <w:fldChar w:fldCharType="separate"/>
          </w:r>
          <w:r>
            <w:rPr>
              <w:rFonts w:hint="eastAsia"/>
            </w:rPr>
            <w:t>第二节 加强固体废物和重金属污染防治</w:t>
          </w:r>
          <w:r>
            <w:tab/>
          </w:r>
          <w:r>
            <w:fldChar w:fldCharType="begin"/>
          </w:r>
          <w:r>
            <w:instrText xml:space="preserve"> PAGEREF _Toc15778 \h </w:instrText>
          </w:r>
          <w:r>
            <w:fldChar w:fldCharType="separate"/>
          </w:r>
          <w:r>
            <w:t>65</w:t>
          </w:r>
          <w:r>
            <w:fldChar w:fldCharType="end"/>
          </w:r>
          <w:r>
            <w:rPr>
              <w:rFonts w:hint="eastAsia"/>
              <w:szCs w:val="28"/>
            </w:rPr>
            <w:fldChar w:fldCharType="end"/>
          </w:r>
        </w:p>
        <w:p w14:paraId="1262AB2F">
          <w:pPr>
            <w:pStyle w:val="14"/>
            <w:tabs>
              <w:tab w:val="right" w:leader="dot" w:pos="8306"/>
            </w:tabs>
          </w:pPr>
          <w:r>
            <w:rPr>
              <w:rFonts w:hint="eastAsia"/>
              <w:szCs w:val="28"/>
            </w:rPr>
            <w:fldChar w:fldCharType="begin"/>
          </w:r>
          <w:r>
            <w:rPr>
              <w:rFonts w:hint="eastAsia"/>
              <w:szCs w:val="28"/>
            </w:rPr>
            <w:instrText xml:space="preserve"> HYPERLINK \l _Toc15256 </w:instrText>
          </w:r>
          <w:r>
            <w:rPr>
              <w:rFonts w:hint="eastAsia"/>
              <w:szCs w:val="28"/>
            </w:rPr>
            <w:fldChar w:fldCharType="separate"/>
          </w:r>
          <w:r>
            <w:rPr>
              <w:rFonts w:hint="eastAsia"/>
            </w:rPr>
            <w:t>第三节 严控危险、医疗废物和化学品环境风险</w:t>
          </w:r>
          <w:r>
            <w:tab/>
          </w:r>
          <w:r>
            <w:fldChar w:fldCharType="begin"/>
          </w:r>
          <w:r>
            <w:instrText xml:space="preserve"> PAGEREF _Toc15256 \h </w:instrText>
          </w:r>
          <w:r>
            <w:fldChar w:fldCharType="separate"/>
          </w:r>
          <w:r>
            <w:t>67</w:t>
          </w:r>
          <w:r>
            <w:fldChar w:fldCharType="end"/>
          </w:r>
          <w:r>
            <w:rPr>
              <w:rFonts w:hint="eastAsia"/>
              <w:szCs w:val="28"/>
            </w:rPr>
            <w:fldChar w:fldCharType="end"/>
          </w:r>
        </w:p>
        <w:p w14:paraId="6C8F8807">
          <w:pPr>
            <w:pStyle w:val="14"/>
            <w:tabs>
              <w:tab w:val="right" w:leader="dot" w:pos="8306"/>
            </w:tabs>
          </w:pPr>
          <w:r>
            <w:rPr>
              <w:rFonts w:hint="eastAsia"/>
              <w:szCs w:val="28"/>
            </w:rPr>
            <w:fldChar w:fldCharType="begin"/>
          </w:r>
          <w:r>
            <w:rPr>
              <w:rFonts w:hint="eastAsia"/>
              <w:szCs w:val="28"/>
            </w:rPr>
            <w:instrText xml:space="preserve"> HYPERLINK \l _Toc31720 </w:instrText>
          </w:r>
          <w:r>
            <w:rPr>
              <w:rFonts w:hint="eastAsia"/>
              <w:szCs w:val="28"/>
            </w:rPr>
            <w:fldChar w:fldCharType="separate"/>
          </w:r>
          <w:r>
            <w:rPr>
              <w:rFonts w:hint="eastAsia"/>
            </w:rPr>
            <w:t>第四节 加强核与辐射安全管理</w:t>
          </w:r>
          <w:r>
            <w:tab/>
          </w:r>
          <w:r>
            <w:fldChar w:fldCharType="begin"/>
          </w:r>
          <w:r>
            <w:instrText xml:space="preserve"> PAGEREF _Toc31720 \h </w:instrText>
          </w:r>
          <w:r>
            <w:fldChar w:fldCharType="separate"/>
          </w:r>
          <w:r>
            <w:t>68</w:t>
          </w:r>
          <w:r>
            <w:fldChar w:fldCharType="end"/>
          </w:r>
          <w:r>
            <w:rPr>
              <w:rFonts w:hint="eastAsia"/>
              <w:szCs w:val="28"/>
            </w:rPr>
            <w:fldChar w:fldCharType="end"/>
          </w:r>
        </w:p>
        <w:p w14:paraId="0A3528D0">
          <w:pPr>
            <w:pStyle w:val="13"/>
            <w:tabs>
              <w:tab w:val="right" w:leader="dot" w:pos="8306"/>
            </w:tabs>
          </w:pPr>
          <w:r>
            <w:rPr>
              <w:rFonts w:hint="eastAsia"/>
              <w:szCs w:val="28"/>
            </w:rPr>
            <w:fldChar w:fldCharType="begin"/>
          </w:r>
          <w:r>
            <w:rPr>
              <w:rFonts w:hint="eastAsia"/>
              <w:szCs w:val="28"/>
            </w:rPr>
            <w:instrText xml:space="preserve"> HYPERLINK \l _Toc16913 </w:instrText>
          </w:r>
          <w:r>
            <w:rPr>
              <w:rFonts w:hint="eastAsia"/>
              <w:szCs w:val="28"/>
            </w:rPr>
            <w:fldChar w:fldCharType="separate"/>
          </w:r>
          <w:r>
            <w:rPr>
              <w:rFonts w:hint="eastAsia"/>
            </w:rPr>
            <w:t>第七章 深化改革创新，构建现代环境治理体系</w:t>
          </w:r>
          <w:r>
            <w:tab/>
          </w:r>
          <w:r>
            <w:fldChar w:fldCharType="begin"/>
          </w:r>
          <w:r>
            <w:instrText xml:space="preserve"> PAGEREF _Toc16913 \h </w:instrText>
          </w:r>
          <w:r>
            <w:fldChar w:fldCharType="separate"/>
          </w:r>
          <w:r>
            <w:t>69</w:t>
          </w:r>
          <w:r>
            <w:fldChar w:fldCharType="end"/>
          </w:r>
          <w:r>
            <w:rPr>
              <w:rFonts w:hint="eastAsia"/>
              <w:szCs w:val="28"/>
            </w:rPr>
            <w:fldChar w:fldCharType="end"/>
          </w:r>
        </w:p>
        <w:p w14:paraId="10F8A9B4">
          <w:pPr>
            <w:pStyle w:val="14"/>
            <w:tabs>
              <w:tab w:val="right" w:leader="dot" w:pos="8306"/>
            </w:tabs>
          </w:pPr>
          <w:r>
            <w:rPr>
              <w:rFonts w:hint="eastAsia"/>
              <w:szCs w:val="28"/>
            </w:rPr>
            <w:fldChar w:fldCharType="begin"/>
          </w:r>
          <w:r>
            <w:rPr>
              <w:rFonts w:hint="eastAsia"/>
              <w:szCs w:val="28"/>
            </w:rPr>
            <w:instrText xml:space="preserve"> HYPERLINK \l _Toc31030 </w:instrText>
          </w:r>
          <w:r>
            <w:rPr>
              <w:rFonts w:hint="eastAsia"/>
              <w:szCs w:val="28"/>
            </w:rPr>
            <w:fldChar w:fldCharType="separate"/>
          </w:r>
          <w:r>
            <w:rPr>
              <w:rFonts w:hint="eastAsia"/>
            </w:rPr>
            <w:t>第一节 构建多元共治现代治理模式</w:t>
          </w:r>
          <w:r>
            <w:tab/>
          </w:r>
          <w:r>
            <w:fldChar w:fldCharType="begin"/>
          </w:r>
          <w:r>
            <w:instrText xml:space="preserve"> PAGEREF _Toc31030 \h </w:instrText>
          </w:r>
          <w:r>
            <w:fldChar w:fldCharType="separate"/>
          </w:r>
          <w:r>
            <w:t>70</w:t>
          </w:r>
          <w:r>
            <w:fldChar w:fldCharType="end"/>
          </w:r>
          <w:r>
            <w:rPr>
              <w:rFonts w:hint="eastAsia"/>
              <w:szCs w:val="28"/>
            </w:rPr>
            <w:fldChar w:fldCharType="end"/>
          </w:r>
        </w:p>
        <w:p w14:paraId="6355251B">
          <w:pPr>
            <w:pStyle w:val="14"/>
            <w:tabs>
              <w:tab w:val="right" w:leader="dot" w:pos="8306"/>
            </w:tabs>
          </w:pPr>
          <w:r>
            <w:rPr>
              <w:rFonts w:hint="eastAsia"/>
              <w:szCs w:val="28"/>
            </w:rPr>
            <w:fldChar w:fldCharType="begin"/>
          </w:r>
          <w:r>
            <w:rPr>
              <w:rFonts w:hint="eastAsia"/>
              <w:szCs w:val="28"/>
            </w:rPr>
            <w:instrText xml:space="preserve"> HYPERLINK \l _Toc6683 </w:instrText>
          </w:r>
          <w:r>
            <w:rPr>
              <w:rFonts w:hint="eastAsia"/>
              <w:szCs w:val="28"/>
            </w:rPr>
            <w:fldChar w:fldCharType="separate"/>
          </w:r>
          <w:r>
            <w:rPr>
              <w:rFonts w:hint="eastAsia"/>
            </w:rPr>
            <w:t>第二节 优化健全治理机制和政策体系</w:t>
          </w:r>
          <w:r>
            <w:tab/>
          </w:r>
          <w:r>
            <w:fldChar w:fldCharType="begin"/>
          </w:r>
          <w:r>
            <w:instrText xml:space="preserve"> PAGEREF _Toc6683 \h </w:instrText>
          </w:r>
          <w:r>
            <w:fldChar w:fldCharType="separate"/>
          </w:r>
          <w:r>
            <w:t>72</w:t>
          </w:r>
          <w:r>
            <w:fldChar w:fldCharType="end"/>
          </w:r>
          <w:r>
            <w:rPr>
              <w:rFonts w:hint="eastAsia"/>
              <w:szCs w:val="28"/>
            </w:rPr>
            <w:fldChar w:fldCharType="end"/>
          </w:r>
        </w:p>
        <w:p w14:paraId="2AEC5131">
          <w:pPr>
            <w:pStyle w:val="14"/>
            <w:tabs>
              <w:tab w:val="right" w:leader="dot" w:pos="8306"/>
            </w:tabs>
          </w:pPr>
          <w:r>
            <w:rPr>
              <w:rFonts w:hint="eastAsia"/>
              <w:szCs w:val="28"/>
            </w:rPr>
            <w:fldChar w:fldCharType="begin"/>
          </w:r>
          <w:r>
            <w:rPr>
              <w:rFonts w:hint="eastAsia"/>
              <w:szCs w:val="28"/>
            </w:rPr>
            <w:instrText xml:space="preserve"> HYPERLINK \l _Toc31457 </w:instrText>
          </w:r>
          <w:r>
            <w:rPr>
              <w:rFonts w:hint="eastAsia"/>
              <w:szCs w:val="28"/>
            </w:rPr>
            <w:fldChar w:fldCharType="separate"/>
          </w:r>
          <w:r>
            <w:rPr>
              <w:rFonts w:hint="eastAsia"/>
            </w:rPr>
            <w:t>第三节 全面提升生态环境监测体系与监管信息化水平</w:t>
          </w:r>
          <w:r>
            <w:tab/>
          </w:r>
          <w:r>
            <w:fldChar w:fldCharType="begin"/>
          </w:r>
          <w:r>
            <w:instrText xml:space="preserve"> PAGEREF _Toc31457 \h </w:instrText>
          </w:r>
          <w:r>
            <w:fldChar w:fldCharType="separate"/>
          </w:r>
          <w:r>
            <w:t>74</w:t>
          </w:r>
          <w:r>
            <w:fldChar w:fldCharType="end"/>
          </w:r>
          <w:r>
            <w:rPr>
              <w:rFonts w:hint="eastAsia"/>
              <w:szCs w:val="28"/>
            </w:rPr>
            <w:fldChar w:fldCharType="end"/>
          </w:r>
        </w:p>
        <w:p w14:paraId="53F8A8A3">
          <w:pPr>
            <w:pStyle w:val="13"/>
            <w:tabs>
              <w:tab w:val="right" w:leader="dot" w:pos="8306"/>
            </w:tabs>
          </w:pPr>
          <w:r>
            <w:rPr>
              <w:rFonts w:hint="eastAsia"/>
              <w:szCs w:val="28"/>
            </w:rPr>
            <w:fldChar w:fldCharType="begin"/>
          </w:r>
          <w:r>
            <w:rPr>
              <w:rFonts w:hint="eastAsia"/>
              <w:szCs w:val="28"/>
            </w:rPr>
            <w:instrText xml:space="preserve"> HYPERLINK \l _Toc2777 </w:instrText>
          </w:r>
          <w:r>
            <w:rPr>
              <w:rFonts w:hint="eastAsia"/>
              <w:szCs w:val="28"/>
            </w:rPr>
            <w:fldChar w:fldCharType="separate"/>
          </w:r>
          <w:r>
            <w:rPr>
              <w:rFonts w:hint="eastAsia"/>
            </w:rPr>
            <w:t>第八章 规划保障</w:t>
          </w:r>
          <w:r>
            <w:tab/>
          </w:r>
          <w:r>
            <w:fldChar w:fldCharType="begin"/>
          </w:r>
          <w:r>
            <w:instrText xml:space="preserve"> PAGEREF _Toc2777 \h </w:instrText>
          </w:r>
          <w:r>
            <w:fldChar w:fldCharType="separate"/>
          </w:r>
          <w:r>
            <w:t>77</w:t>
          </w:r>
          <w:r>
            <w:fldChar w:fldCharType="end"/>
          </w:r>
          <w:r>
            <w:rPr>
              <w:rFonts w:hint="eastAsia"/>
              <w:szCs w:val="28"/>
            </w:rPr>
            <w:fldChar w:fldCharType="end"/>
          </w:r>
        </w:p>
        <w:p w14:paraId="782D9BE9">
          <w:pPr>
            <w:pStyle w:val="14"/>
            <w:tabs>
              <w:tab w:val="right" w:leader="dot" w:pos="8306"/>
            </w:tabs>
          </w:pPr>
          <w:r>
            <w:rPr>
              <w:rFonts w:hint="eastAsia"/>
              <w:szCs w:val="28"/>
            </w:rPr>
            <w:fldChar w:fldCharType="begin"/>
          </w:r>
          <w:r>
            <w:rPr>
              <w:rFonts w:hint="eastAsia"/>
              <w:szCs w:val="28"/>
            </w:rPr>
            <w:instrText xml:space="preserve"> HYPERLINK \l _Toc3590 </w:instrText>
          </w:r>
          <w:r>
            <w:rPr>
              <w:rFonts w:hint="eastAsia"/>
              <w:szCs w:val="28"/>
            </w:rPr>
            <w:fldChar w:fldCharType="separate"/>
          </w:r>
          <w:r>
            <w:rPr>
              <w:rFonts w:hint="eastAsia"/>
            </w:rPr>
            <w:t>第一节 强化组织领导，建立环保目标责任制</w:t>
          </w:r>
          <w:r>
            <w:tab/>
          </w:r>
          <w:r>
            <w:fldChar w:fldCharType="begin"/>
          </w:r>
          <w:r>
            <w:instrText xml:space="preserve"> PAGEREF _Toc3590 \h </w:instrText>
          </w:r>
          <w:r>
            <w:fldChar w:fldCharType="separate"/>
          </w:r>
          <w:r>
            <w:t>77</w:t>
          </w:r>
          <w:r>
            <w:fldChar w:fldCharType="end"/>
          </w:r>
          <w:r>
            <w:rPr>
              <w:rFonts w:hint="eastAsia"/>
              <w:szCs w:val="28"/>
            </w:rPr>
            <w:fldChar w:fldCharType="end"/>
          </w:r>
        </w:p>
        <w:p w14:paraId="6F3D0539">
          <w:pPr>
            <w:pStyle w:val="14"/>
            <w:tabs>
              <w:tab w:val="right" w:leader="dot" w:pos="8306"/>
            </w:tabs>
          </w:pPr>
          <w:r>
            <w:rPr>
              <w:rFonts w:hint="eastAsia"/>
              <w:szCs w:val="28"/>
            </w:rPr>
            <w:fldChar w:fldCharType="begin"/>
          </w:r>
          <w:r>
            <w:rPr>
              <w:rFonts w:hint="eastAsia"/>
              <w:szCs w:val="28"/>
            </w:rPr>
            <w:instrText xml:space="preserve"> HYPERLINK \l _Toc19830 </w:instrText>
          </w:r>
          <w:r>
            <w:rPr>
              <w:rFonts w:hint="eastAsia"/>
              <w:szCs w:val="28"/>
            </w:rPr>
            <w:fldChar w:fldCharType="separate"/>
          </w:r>
          <w:r>
            <w:rPr>
              <w:rFonts w:hint="eastAsia"/>
            </w:rPr>
            <w:t>第二节 坚持依法行政，加强生态环境执法力度</w:t>
          </w:r>
          <w:r>
            <w:tab/>
          </w:r>
          <w:r>
            <w:fldChar w:fldCharType="begin"/>
          </w:r>
          <w:r>
            <w:instrText xml:space="preserve"> PAGEREF _Toc19830 \h </w:instrText>
          </w:r>
          <w:r>
            <w:fldChar w:fldCharType="separate"/>
          </w:r>
          <w:r>
            <w:t>77</w:t>
          </w:r>
          <w:r>
            <w:fldChar w:fldCharType="end"/>
          </w:r>
          <w:r>
            <w:rPr>
              <w:rFonts w:hint="eastAsia"/>
              <w:szCs w:val="28"/>
            </w:rPr>
            <w:fldChar w:fldCharType="end"/>
          </w:r>
        </w:p>
        <w:p w14:paraId="71C4DAC2">
          <w:pPr>
            <w:pStyle w:val="14"/>
            <w:tabs>
              <w:tab w:val="right" w:leader="dot" w:pos="8306"/>
            </w:tabs>
          </w:pPr>
          <w:r>
            <w:rPr>
              <w:rFonts w:hint="eastAsia"/>
              <w:szCs w:val="28"/>
            </w:rPr>
            <w:fldChar w:fldCharType="begin"/>
          </w:r>
          <w:r>
            <w:rPr>
              <w:rFonts w:hint="eastAsia"/>
              <w:szCs w:val="28"/>
            </w:rPr>
            <w:instrText xml:space="preserve"> HYPERLINK \l _Toc19887 </w:instrText>
          </w:r>
          <w:r>
            <w:rPr>
              <w:rFonts w:hint="eastAsia"/>
              <w:szCs w:val="28"/>
            </w:rPr>
            <w:fldChar w:fldCharType="separate"/>
          </w:r>
          <w:r>
            <w:rPr>
              <w:rFonts w:hint="eastAsia"/>
            </w:rPr>
            <w:t>第三节 加强制度保障，完善生态文明建设体系</w:t>
          </w:r>
          <w:r>
            <w:tab/>
          </w:r>
          <w:r>
            <w:fldChar w:fldCharType="begin"/>
          </w:r>
          <w:r>
            <w:instrText xml:space="preserve"> PAGEREF _Toc19887 \h </w:instrText>
          </w:r>
          <w:r>
            <w:fldChar w:fldCharType="separate"/>
          </w:r>
          <w:r>
            <w:t>78</w:t>
          </w:r>
          <w:r>
            <w:fldChar w:fldCharType="end"/>
          </w:r>
          <w:r>
            <w:rPr>
              <w:rFonts w:hint="eastAsia"/>
              <w:szCs w:val="28"/>
            </w:rPr>
            <w:fldChar w:fldCharType="end"/>
          </w:r>
        </w:p>
        <w:p w14:paraId="572F66CB">
          <w:pPr>
            <w:pStyle w:val="14"/>
            <w:tabs>
              <w:tab w:val="right" w:leader="dot" w:pos="8306"/>
            </w:tabs>
          </w:pPr>
          <w:r>
            <w:rPr>
              <w:rFonts w:hint="eastAsia"/>
              <w:szCs w:val="28"/>
            </w:rPr>
            <w:fldChar w:fldCharType="begin"/>
          </w:r>
          <w:r>
            <w:rPr>
              <w:rFonts w:hint="eastAsia"/>
              <w:szCs w:val="28"/>
            </w:rPr>
            <w:instrText xml:space="preserve"> HYPERLINK \l _Toc1303 </w:instrText>
          </w:r>
          <w:r>
            <w:rPr>
              <w:rFonts w:hint="eastAsia"/>
              <w:szCs w:val="28"/>
            </w:rPr>
            <w:fldChar w:fldCharType="separate"/>
          </w:r>
          <w:r>
            <w:rPr>
              <w:rFonts w:hint="eastAsia"/>
            </w:rPr>
            <w:t>第四节 强化组织管理，建立环境监测评估机制</w:t>
          </w:r>
          <w:r>
            <w:tab/>
          </w:r>
          <w:r>
            <w:fldChar w:fldCharType="begin"/>
          </w:r>
          <w:r>
            <w:instrText xml:space="preserve"> PAGEREF _Toc1303 \h </w:instrText>
          </w:r>
          <w:r>
            <w:fldChar w:fldCharType="separate"/>
          </w:r>
          <w:r>
            <w:t>78</w:t>
          </w:r>
          <w:r>
            <w:fldChar w:fldCharType="end"/>
          </w:r>
          <w:r>
            <w:rPr>
              <w:rFonts w:hint="eastAsia"/>
              <w:szCs w:val="28"/>
            </w:rPr>
            <w:fldChar w:fldCharType="end"/>
          </w:r>
        </w:p>
        <w:p w14:paraId="5142E084">
          <w:pPr>
            <w:pStyle w:val="14"/>
            <w:tabs>
              <w:tab w:val="right" w:leader="dot" w:pos="8306"/>
            </w:tabs>
          </w:pPr>
          <w:r>
            <w:rPr>
              <w:rFonts w:hint="eastAsia"/>
              <w:szCs w:val="28"/>
            </w:rPr>
            <w:fldChar w:fldCharType="begin"/>
          </w:r>
          <w:r>
            <w:rPr>
              <w:rFonts w:hint="eastAsia"/>
              <w:szCs w:val="28"/>
            </w:rPr>
            <w:instrText xml:space="preserve"> HYPERLINK \l _Toc7059 </w:instrText>
          </w:r>
          <w:r>
            <w:rPr>
              <w:rFonts w:hint="eastAsia"/>
              <w:szCs w:val="28"/>
            </w:rPr>
            <w:fldChar w:fldCharType="separate"/>
          </w:r>
          <w:r>
            <w:rPr>
              <w:rFonts w:hint="eastAsia"/>
            </w:rPr>
            <w:t>第五节 加大资金投入，建立多元化投融资机制</w:t>
          </w:r>
          <w:r>
            <w:tab/>
          </w:r>
          <w:r>
            <w:fldChar w:fldCharType="begin"/>
          </w:r>
          <w:r>
            <w:instrText xml:space="preserve"> PAGEREF _Toc7059 \h </w:instrText>
          </w:r>
          <w:r>
            <w:fldChar w:fldCharType="separate"/>
          </w:r>
          <w:r>
            <w:t>79</w:t>
          </w:r>
          <w:r>
            <w:fldChar w:fldCharType="end"/>
          </w:r>
          <w:r>
            <w:rPr>
              <w:rFonts w:hint="eastAsia"/>
              <w:szCs w:val="28"/>
            </w:rPr>
            <w:fldChar w:fldCharType="end"/>
          </w:r>
        </w:p>
        <w:p w14:paraId="1466EBD3">
          <w:pPr>
            <w:pStyle w:val="14"/>
            <w:tabs>
              <w:tab w:val="right" w:leader="dot" w:pos="8306"/>
            </w:tabs>
          </w:pPr>
          <w:r>
            <w:rPr>
              <w:rFonts w:hint="eastAsia"/>
              <w:szCs w:val="28"/>
            </w:rPr>
            <w:fldChar w:fldCharType="begin"/>
          </w:r>
          <w:r>
            <w:rPr>
              <w:rFonts w:hint="eastAsia"/>
              <w:szCs w:val="28"/>
            </w:rPr>
            <w:instrText xml:space="preserve"> HYPERLINK \l _Toc13112 </w:instrText>
          </w:r>
          <w:r>
            <w:rPr>
              <w:rFonts w:hint="eastAsia"/>
              <w:szCs w:val="28"/>
            </w:rPr>
            <w:fldChar w:fldCharType="separate"/>
          </w:r>
          <w:r>
            <w:rPr>
              <w:rFonts w:hint="eastAsia"/>
            </w:rPr>
            <w:t>第六节 推动社会共治，提高公众生态文明意识</w:t>
          </w:r>
          <w:r>
            <w:tab/>
          </w:r>
          <w:r>
            <w:fldChar w:fldCharType="begin"/>
          </w:r>
          <w:r>
            <w:instrText xml:space="preserve"> PAGEREF _Toc13112 \h </w:instrText>
          </w:r>
          <w:r>
            <w:fldChar w:fldCharType="separate"/>
          </w:r>
          <w:r>
            <w:t>79</w:t>
          </w:r>
          <w:r>
            <w:fldChar w:fldCharType="end"/>
          </w:r>
          <w:r>
            <w:rPr>
              <w:rFonts w:hint="eastAsia"/>
              <w:szCs w:val="28"/>
            </w:rPr>
            <w:fldChar w:fldCharType="end"/>
          </w:r>
        </w:p>
        <w:p w14:paraId="7550AA41">
          <w:pPr>
            <w:pStyle w:val="13"/>
            <w:tabs>
              <w:tab w:val="right" w:leader="dot" w:pos="8306"/>
            </w:tabs>
          </w:pPr>
          <w:r>
            <w:rPr>
              <w:rFonts w:hint="eastAsia"/>
              <w:szCs w:val="28"/>
            </w:rPr>
            <w:fldChar w:fldCharType="begin"/>
          </w:r>
          <w:r>
            <w:rPr>
              <w:rFonts w:hint="eastAsia"/>
              <w:szCs w:val="28"/>
            </w:rPr>
            <w:instrText xml:space="preserve"> HYPERLINK \l _Toc26480 </w:instrText>
          </w:r>
          <w:r>
            <w:rPr>
              <w:rFonts w:hint="eastAsia"/>
              <w:szCs w:val="28"/>
            </w:rPr>
            <w:fldChar w:fldCharType="separate"/>
          </w:r>
          <w:r>
            <w:rPr>
              <w:rFonts w:hint="eastAsia"/>
            </w:rPr>
            <w:t>附表  砀山县“十四五”生态环境保护重点工程计划表</w:t>
          </w:r>
          <w:r>
            <w:tab/>
          </w:r>
          <w:r>
            <w:fldChar w:fldCharType="begin"/>
          </w:r>
          <w:r>
            <w:instrText xml:space="preserve"> PAGEREF _Toc26480 \h </w:instrText>
          </w:r>
          <w:r>
            <w:fldChar w:fldCharType="separate"/>
          </w:r>
          <w:r>
            <w:t>81</w:t>
          </w:r>
          <w:r>
            <w:fldChar w:fldCharType="end"/>
          </w:r>
          <w:r>
            <w:rPr>
              <w:rFonts w:hint="eastAsia"/>
              <w:szCs w:val="28"/>
            </w:rPr>
            <w:fldChar w:fldCharType="end"/>
          </w:r>
        </w:p>
        <w:p w14:paraId="14B993DB">
          <w:pPr>
            <w:pStyle w:val="7"/>
            <w:ind w:firstLine="560"/>
            <w:rPr>
              <w:b/>
            </w:rPr>
          </w:pPr>
          <w:r>
            <w:rPr>
              <w:rFonts w:hint="eastAsia"/>
              <w:szCs w:val="28"/>
            </w:rPr>
            <w:fldChar w:fldCharType="end"/>
          </w:r>
        </w:p>
      </w:sdtContent>
    </w:sdt>
    <w:p w14:paraId="17CEF64C">
      <w:pPr>
        <w:ind w:firstLine="560"/>
      </w:pPr>
    </w:p>
    <w:p w14:paraId="17BDFA54">
      <w:pPr>
        <w:ind w:firstLine="560"/>
      </w:pPr>
    </w:p>
    <w:p w14:paraId="1FDC4E5E">
      <w:pPr>
        <w:tabs>
          <w:tab w:val="left" w:pos="2181"/>
        </w:tabs>
        <w:ind w:firstLine="560"/>
        <w:jc w:val="left"/>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rPr>
        <w:tab/>
      </w:r>
    </w:p>
    <w:p w14:paraId="7F6910BF">
      <w:pPr>
        <w:spacing w:line="420" w:lineRule="auto"/>
        <w:ind w:firstLine="560"/>
      </w:pPr>
      <w:r>
        <w:rPr>
          <w:rFonts w:hint="eastAsia" w:ascii="仿宋" w:hAnsi="仿宋" w:cs="仿宋"/>
          <w:kern w:val="0"/>
          <w:szCs w:val="28"/>
          <w:shd w:val="clear" w:color="auto" w:fill="FFFFFF"/>
        </w:rPr>
        <w:t>“十三五”</w:t>
      </w:r>
      <w:r>
        <w:rPr>
          <w:rFonts w:hint="eastAsia" w:ascii="仿宋" w:hAnsi="仿宋" w:cs="仿宋"/>
          <w:szCs w:val="28"/>
        </w:rPr>
        <w:t>实施以来，全县上下紧紧围绕五大发展行动计划，全力推进“三中心四基地”建设，综合经济实力显著提升，民生得到了进一步改善，国民经济和社会事业保持持续稳定健康发展的势头。</w:t>
      </w:r>
      <w:r>
        <w:rPr>
          <w:rFonts w:hint="eastAsia"/>
        </w:rPr>
        <w:t>为切实做好砀山县“十四五</w:t>
      </w:r>
      <w:r>
        <w:t>”</w:t>
      </w:r>
      <w:r>
        <w:rPr>
          <w:rFonts w:hint="eastAsia"/>
        </w:rPr>
        <w:t>生态环境保护工作，持续改善生态环境质量，健全生态文明制度，深度融合长三角一体化发展，实现与高质量发展相匹配的高水平生态环境保护，根据《砀山县国民经济和社会发展第十四个五年规划纲要》（以下简称《纲要》）和“省、市‘十四五’生态环境保护规划思路”制定本规划。</w:t>
      </w:r>
    </w:p>
    <w:p w14:paraId="4353D77B">
      <w:pPr>
        <w:pStyle w:val="2"/>
      </w:pPr>
      <w:bookmarkStart w:id="1" w:name="_Toc21177"/>
      <w:bookmarkStart w:id="2" w:name="_Toc2455"/>
      <w:r>
        <w:rPr>
          <w:rFonts w:hint="eastAsia"/>
        </w:rPr>
        <w:t>第一章 生态环境保护形势</w:t>
      </w:r>
      <w:bookmarkEnd w:id="0"/>
      <w:bookmarkEnd w:id="1"/>
      <w:bookmarkEnd w:id="2"/>
    </w:p>
    <w:p w14:paraId="2447440A">
      <w:pPr>
        <w:pStyle w:val="3"/>
      </w:pPr>
      <w:bookmarkStart w:id="3" w:name="_Toc11403"/>
      <w:bookmarkStart w:id="4" w:name="_Toc25174"/>
      <w:r>
        <w:rPr>
          <w:rFonts w:hint="eastAsia"/>
        </w:rPr>
        <w:t>第一节 “十三五”生态环境保护工作成效</w:t>
      </w:r>
      <w:bookmarkEnd w:id="3"/>
      <w:bookmarkEnd w:id="4"/>
    </w:p>
    <w:p w14:paraId="0FCE82CE">
      <w:pPr>
        <w:adjustRightInd w:val="0"/>
        <w:spacing w:line="420" w:lineRule="auto"/>
        <w:ind w:firstLine="560"/>
        <w:outlineLvl w:val="2"/>
        <w:rPr>
          <w:b/>
          <w:bCs/>
          <w:szCs w:val="28"/>
        </w:rPr>
      </w:pPr>
      <w:r>
        <w:rPr>
          <w:rFonts w:hint="eastAsia"/>
          <w:b/>
          <w:bCs/>
          <w:szCs w:val="28"/>
        </w:rPr>
        <w:t>一、</w:t>
      </w:r>
      <w:r>
        <w:rPr>
          <w:b/>
          <w:bCs/>
        </w:rPr>
        <w:t>深入贯彻习近平生态文明思想</w:t>
      </w:r>
    </w:p>
    <w:p w14:paraId="38F89110">
      <w:pPr>
        <w:pStyle w:val="21"/>
        <w:spacing w:line="420" w:lineRule="auto"/>
        <w:ind w:firstLine="560"/>
        <w:rPr>
          <w:rFonts w:ascii="仿宋" w:hAnsi="仿宋" w:eastAsia="仿宋" w:cs="仿宋"/>
          <w:bCs/>
          <w:sz w:val="28"/>
          <w:szCs w:val="28"/>
        </w:rPr>
      </w:pPr>
      <w:r>
        <w:rPr>
          <w:rFonts w:hint="eastAsia" w:ascii="仿宋" w:hAnsi="仿宋" w:eastAsia="仿宋" w:cs="仿宋"/>
          <w:bCs/>
          <w:sz w:val="28"/>
          <w:szCs w:val="28"/>
        </w:rPr>
        <w:t>“</w:t>
      </w:r>
      <w:r>
        <w:rPr>
          <w:rFonts w:ascii="仿宋" w:hAnsi="仿宋" w:eastAsia="仿宋" w:cs="仿宋"/>
          <w:bCs/>
          <w:sz w:val="28"/>
          <w:szCs w:val="28"/>
        </w:rPr>
        <w:t>十三五</w:t>
      </w:r>
      <w:r>
        <w:rPr>
          <w:rFonts w:hint="eastAsia" w:ascii="仿宋" w:hAnsi="仿宋" w:eastAsia="仿宋" w:cs="仿宋"/>
          <w:bCs/>
          <w:sz w:val="28"/>
          <w:szCs w:val="28"/>
        </w:rPr>
        <w:t>”</w:t>
      </w:r>
      <w:r>
        <w:rPr>
          <w:rFonts w:ascii="仿宋" w:hAnsi="仿宋" w:eastAsia="仿宋" w:cs="仿宋"/>
          <w:bCs/>
          <w:sz w:val="28"/>
          <w:szCs w:val="28"/>
        </w:rPr>
        <w:t>期间，</w:t>
      </w:r>
      <w:r>
        <w:rPr>
          <w:rFonts w:hint="eastAsia" w:ascii="仿宋" w:hAnsi="仿宋" w:cs="仿宋"/>
          <w:bCs/>
          <w:sz w:val="28"/>
          <w:szCs w:val="28"/>
        </w:rPr>
        <w:t>砀山</w:t>
      </w:r>
      <w:r>
        <w:rPr>
          <w:rFonts w:ascii="仿宋" w:hAnsi="仿宋" w:eastAsia="仿宋" w:cs="仿宋"/>
          <w:bCs/>
          <w:sz w:val="28"/>
          <w:szCs w:val="28"/>
        </w:rPr>
        <w:t>县委县政府坚持以习近平生态文明思想为指导，深入贯彻习近平总书记的重要指示精神，</w:t>
      </w:r>
      <w:r>
        <w:rPr>
          <w:rFonts w:hint="eastAsia" w:ascii="仿宋" w:hAnsi="仿宋" w:eastAsia="仿宋" w:cs="仿宋"/>
          <w:bCs/>
          <w:sz w:val="28"/>
          <w:szCs w:val="28"/>
        </w:rPr>
        <w:t>牢固树立和践行习近平总书记关于“绿水青山就是金山银山”发展理念，坚持生态保护优先，筑牢生态安全屏障，全面促进资源节约集约利用，推动形成绿色发展方式和生活方式，把生态文明建设贯穿于经济社会发展各方面和全过程。</w:t>
      </w:r>
      <w:r>
        <w:rPr>
          <w:rFonts w:ascii="仿宋" w:hAnsi="仿宋" w:eastAsia="仿宋" w:cs="仿宋"/>
          <w:bCs/>
          <w:sz w:val="28"/>
          <w:szCs w:val="28"/>
        </w:rPr>
        <w:t>认真落实中央和省市关于生态环保的决策部署，在高水平保护中推动高质量发展</w:t>
      </w:r>
      <w:r>
        <w:rPr>
          <w:rFonts w:hint="eastAsia" w:ascii="仿宋" w:hAnsi="仿宋" w:eastAsia="仿宋" w:cs="仿宋"/>
          <w:bCs/>
          <w:sz w:val="28"/>
          <w:szCs w:val="28"/>
        </w:rPr>
        <w:t>，紧紧围绕中心工作和环境保护目标任务，着眼环境质量改善和提升，扎实推进环境保护各项工作，全县生态环境质量持续改善向好</w:t>
      </w:r>
      <w:r>
        <w:rPr>
          <w:rFonts w:hint="eastAsia" w:ascii="仿宋" w:hAnsi="仿宋" w:cs="仿宋"/>
          <w:bCs/>
          <w:sz w:val="28"/>
          <w:szCs w:val="28"/>
        </w:rPr>
        <w:t>，</w:t>
      </w:r>
      <w:r>
        <w:rPr>
          <w:rFonts w:ascii="仿宋" w:hAnsi="仿宋" w:eastAsia="仿宋" w:cs="仿宋"/>
          <w:bCs/>
          <w:sz w:val="28"/>
          <w:szCs w:val="28"/>
        </w:rPr>
        <w:t>环境风险得到有效管控</w:t>
      </w:r>
      <w:r>
        <w:rPr>
          <w:rFonts w:hint="eastAsia" w:ascii="仿宋" w:hAnsi="仿宋" w:eastAsia="仿宋" w:cs="仿宋"/>
          <w:bCs/>
          <w:sz w:val="28"/>
          <w:szCs w:val="28"/>
        </w:rPr>
        <w:t>。</w:t>
      </w:r>
    </w:p>
    <w:p w14:paraId="54A15C00">
      <w:pPr>
        <w:pStyle w:val="9"/>
        <w:ind w:left="0" w:leftChars="0" w:firstLine="560"/>
        <w:outlineLvl w:val="2"/>
        <w:rPr>
          <w:b/>
          <w:bCs/>
        </w:rPr>
      </w:pPr>
      <w:r>
        <w:rPr>
          <w:rFonts w:hint="eastAsia"/>
          <w:b/>
          <w:bCs/>
        </w:rPr>
        <w:t>二、</w:t>
      </w:r>
      <w:r>
        <w:rPr>
          <w:b/>
          <w:bCs/>
        </w:rPr>
        <w:t>县域整体环境质量持续改善</w:t>
      </w:r>
    </w:p>
    <w:p w14:paraId="649B276B">
      <w:pPr>
        <w:pStyle w:val="23"/>
        <w:adjustRightInd w:val="0"/>
        <w:snapToGrid w:val="0"/>
        <w:spacing w:line="420" w:lineRule="auto"/>
        <w:ind w:firstLine="560"/>
        <w:rPr>
          <w:szCs w:val="28"/>
        </w:rPr>
      </w:pPr>
      <w:r>
        <w:rPr>
          <w:rFonts w:hint="eastAsia" w:ascii="仿宋" w:hAnsi="仿宋" w:cs="仿宋"/>
          <w:bCs/>
          <w:szCs w:val="28"/>
        </w:rPr>
        <w:t>“十三五”以</w:t>
      </w:r>
      <w:r>
        <w:rPr>
          <w:szCs w:val="28"/>
        </w:rPr>
        <w:t>来，我县各类资源环境指标监测体系日趋完善，对化学需氧量、氨氮、二氧化硫和氮氧化物等主要污染物排放总量进行严格控制，单位GDP综合能耗、单位GDP二氧化碳排放量、单位工业增加值用水量均达到省下达标准，约束性指标均能如期完成。</w:t>
      </w:r>
      <w:r>
        <w:rPr>
          <w:rFonts w:hint="eastAsia" w:ascii="仿宋" w:hAnsi="仿宋" w:cs="仿宋"/>
          <w:bCs/>
          <w:szCs w:val="28"/>
        </w:rPr>
        <w:t>“十三五”城区生活污水、</w:t>
      </w:r>
      <w:r>
        <w:rPr>
          <w:szCs w:val="28"/>
        </w:rPr>
        <w:t>垃圾无害化处理率为</w:t>
      </w:r>
      <w:r>
        <w:rPr>
          <w:rFonts w:hint="eastAsia"/>
          <w:szCs w:val="28"/>
        </w:rPr>
        <w:t>95%和99.2</w:t>
      </w:r>
      <w:r>
        <w:rPr>
          <w:szCs w:val="28"/>
        </w:rPr>
        <w:t>%，完成《</w:t>
      </w:r>
      <w:r>
        <w:rPr>
          <w:rFonts w:hint="eastAsia"/>
          <w:szCs w:val="28"/>
        </w:rPr>
        <w:t>砀山县“十三五”环境保护规划</w:t>
      </w:r>
      <w:r>
        <w:rPr>
          <w:szCs w:val="28"/>
        </w:rPr>
        <w:t>》</w:t>
      </w:r>
      <w:r>
        <w:rPr>
          <w:rFonts w:hint="eastAsia"/>
          <w:szCs w:val="28"/>
        </w:rPr>
        <w:t>（以下简称“十三五”规划）</w:t>
      </w:r>
      <w:r>
        <w:rPr>
          <w:szCs w:val="28"/>
        </w:rPr>
        <w:t>预设的目标任务。</w:t>
      </w:r>
      <w:r>
        <w:rPr>
          <w:rFonts w:hint="eastAsia"/>
          <w:szCs w:val="28"/>
        </w:rPr>
        <w:t>县域环境空气质量逐年提升，</w:t>
      </w:r>
      <w:r>
        <w:rPr>
          <w:rFonts w:hint="eastAsia" w:ascii="仿宋" w:hAnsi="仿宋" w:cs="仿宋"/>
          <w:bCs/>
          <w:szCs w:val="28"/>
        </w:rPr>
        <w:t>砀山县</w:t>
      </w:r>
      <w:r>
        <w:rPr>
          <w:bCs/>
          <w:szCs w:val="28"/>
        </w:rPr>
        <w:t>2020</w:t>
      </w:r>
      <w:r>
        <w:rPr>
          <w:rFonts w:hint="eastAsia" w:ascii="仿宋" w:hAnsi="仿宋" w:cs="仿宋"/>
          <w:bCs/>
          <w:szCs w:val="28"/>
        </w:rPr>
        <w:t>年环境</w:t>
      </w:r>
      <w:r>
        <w:rPr>
          <w:szCs w:val="28"/>
        </w:rPr>
        <w:t>空气质量优良</w:t>
      </w:r>
      <w:r>
        <w:rPr>
          <w:rFonts w:hint="eastAsia"/>
          <w:szCs w:val="28"/>
        </w:rPr>
        <w:t>天数为245天</w:t>
      </w:r>
      <w:r>
        <w:rPr>
          <w:szCs w:val="28"/>
        </w:rPr>
        <w:t>，</w:t>
      </w:r>
      <w:r>
        <w:rPr>
          <w:rFonts w:hint="eastAsia"/>
          <w:szCs w:val="28"/>
        </w:rPr>
        <w:t>空气优良率达67.1%，完成</w:t>
      </w:r>
      <w:r>
        <w:rPr>
          <w:rFonts w:hint="eastAsia" w:ascii="仿宋" w:hAnsi="仿宋" w:cs="仿宋"/>
          <w:bCs/>
          <w:szCs w:val="28"/>
        </w:rPr>
        <w:t>“</w:t>
      </w:r>
      <w:r>
        <w:rPr>
          <w:rFonts w:hint="eastAsia"/>
          <w:szCs w:val="28"/>
        </w:rPr>
        <w:t>十三五</w:t>
      </w:r>
      <w:r>
        <w:rPr>
          <w:rFonts w:hint="default"/>
          <w:szCs w:val="28"/>
          <w:lang w:val="en-US" w:eastAsia="zh-CN"/>
        </w:rPr>
        <w:t>”</w:t>
      </w:r>
      <w:r>
        <w:rPr>
          <w:rFonts w:hint="eastAsia"/>
          <w:szCs w:val="28"/>
        </w:rPr>
        <w:t>规划</w:t>
      </w:r>
      <w:r>
        <w:rPr>
          <w:szCs w:val="28"/>
        </w:rPr>
        <w:t>中</w:t>
      </w:r>
      <w:r>
        <w:rPr>
          <w:rFonts w:hint="eastAsia"/>
          <w:szCs w:val="28"/>
        </w:rPr>
        <w:t>所制定</w:t>
      </w:r>
      <w:r>
        <w:rPr>
          <w:szCs w:val="28"/>
        </w:rPr>
        <w:t>的目标任务。截至20</w:t>
      </w:r>
      <w:r>
        <w:rPr>
          <w:rFonts w:hint="eastAsia"/>
          <w:szCs w:val="28"/>
        </w:rPr>
        <w:t>20</w:t>
      </w:r>
      <w:r>
        <w:rPr>
          <w:szCs w:val="28"/>
        </w:rPr>
        <w:t>年末，森林覆盖率达</w:t>
      </w:r>
      <w:r>
        <w:rPr>
          <w:rFonts w:hint="eastAsia"/>
          <w:szCs w:val="28"/>
        </w:rPr>
        <w:t>到65.02</w:t>
      </w:r>
      <w:r>
        <w:rPr>
          <w:szCs w:val="28"/>
        </w:rPr>
        <w:t>%，耕地</w:t>
      </w:r>
      <w:bookmarkStart w:id="75" w:name="_GoBack"/>
      <w:bookmarkEnd w:id="75"/>
      <w:r>
        <w:rPr>
          <w:szCs w:val="28"/>
        </w:rPr>
        <w:t>保有量、城市生活污水集中处理率、建成区绿化率如期完成</w:t>
      </w:r>
      <w:r>
        <w:rPr>
          <w:rFonts w:hint="eastAsia" w:ascii="仿宋" w:hAnsi="仿宋" w:cs="仿宋"/>
          <w:bCs/>
          <w:szCs w:val="28"/>
        </w:rPr>
        <w:t>“</w:t>
      </w:r>
      <w:r>
        <w:rPr>
          <w:rFonts w:hint="eastAsia"/>
          <w:szCs w:val="28"/>
        </w:rPr>
        <w:t>十三五</w:t>
      </w:r>
      <w:r>
        <w:rPr>
          <w:rFonts w:hint="default"/>
          <w:szCs w:val="28"/>
          <w:lang w:val="en-US" w:eastAsia="zh-CN"/>
        </w:rPr>
        <w:t>”</w:t>
      </w:r>
      <w:r>
        <w:rPr>
          <w:rFonts w:hint="eastAsia"/>
          <w:szCs w:val="28"/>
        </w:rPr>
        <w:t>规划</w:t>
      </w:r>
      <w:r>
        <w:rPr>
          <w:szCs w:val="28"/>
        </w:rPr>
        <w:t>目标</w:t>
      </w:r>
      <w:r>
        <w:rPr>
          <w:rFonts w:hint="eastAsia"/>
          <w:szCs w:val="28"/>
        </w:rPr>
        <w:t>。</w:t>
      </w:r>
    </w:p>
    <w:p w14:paraId="4C3FE01D">
      <w:pPr>
        <w:pStyle w:val="23"/>
        <w:adjustRightInd w:val="0"/>
        <w:snapToGrid w:val="0"/>
        <w:spacing w:line="420" w:lineRule="auto"/>
        <w:ind w:firstLine="560"/>
      </w:pPr>
      <w:r>
        <w:rPr>
          <w:rFonts w:hint="eastAsia"/>
          <w:szCs w:val="28"/>
        </w:rPr>
        <w:t>近年来，我县紧紧围绕污染物总量削减目标责任书，采取结构减排、工程减排、管理减排三大措施，大幅削减主要污染物排放量，区域环境质量稳定好转。</w:t>
      </w:r>
    </w:p>
    <w:p w14:paraId="29218639">
      <w:pPr>
        <w:adjustRightInd w:val="0"/>
        <w:snapToGrid w:val="0"/>
        <w:spacing w:line="420" w:lineRule="auto"/>
        <w:ind w:firstLine="560"/>
        <w:rPr>
          <w:szCs w:val="28"/>
        </w:rPr>
      </w:pPr>
      <w:r>
        <w:rPr>
          <w:b/>
          <w:bCs/>
          <w:szCs w:val="28"/>
        </w:rPr>
        <w:t>环境修复与保护并举。</w:t>
      </w:r>
      <w:r>
        <w:rPr>
          <w:rFonts w:hint="eastAsia"/>
          <w:szCs w:val="28"/>
        </w:rPr>
        <w:t>制定并实施《砀山县湿地保护修复制度工作方案》（砀政办秘[2018]102号），增强湿地保护修复的系统性、整体性协同性。</w:t>
      </w:r>
      <w:r>
        <w:rPr>
          <w:szCs w:val="28"/>
        </w:rPr>
        <w:t>启动实施库区饮用水源保护和周边环境质量提升工程，主要地表水均达到</w:t>
      </w:r>
      <w:r>
        <w:rPr>
          <w:rFonts w:hint="eastAsia"/>
          <w:szCs w:val="28"/>
        </w:rPr>
        <w:t>Ⅴ</w:t>
      </w:r>
      <w:r>
        <w:rPr>
          <w:szCs w:val="28"/>
        </w:rPr>
        <w:t>类水标准，其中黄河水质情况较好，稳定达到</w:t>
      </w:r>
      <w:r>
        <w:rPr>
          <w:rFonts w:hint="eastAsia"/>
          <w:szCs w:val="28"/>
        </w:rPr>
        <w:t>Ⅳ</w:t>
      </w:r>
      <w:r>
        <w:rPr>
          <w:szCs w:val="28"/>
        </w:rPr>
        <w:t>类考核要求。水体沿岸注重自然生态保护，实施人工造林，植被覆盖率不断提高，截至20</w:t>
      </w:r>
      <w:r>
        <w:rPr>
          <w:rFonts w:hint="eastAsia"/>
          <w:szCs w:val="28"/>
        </w:rPr>
        <w:t>20</w:t>
      </w:r>
      <w:r>
        <w:rPr>
          <w:szCs w:val="28"/>
        </w:rPr>
        <w:t>年</w:t>
      </w:r>
      <w:r>
        <w:rPr>
          <w:rFonts w:hint="eastAsia"/>
          <w:szCs w:val="28"/>
        </w:rPr>
        <w:t>底</w:t>
      </w:r>
      <w:r>
        <w:rPr>
          <w:szCs w:val="28"/>
        </w:rPr>
        <w:t>，新造林面积达到</w:t>
      </w:r>
      <w:r>
        <w:rPr>
          <w:rFonts w:hint="eastAsia"/>
          <w:szCs w:val="28"/>
        </w:rPr>
        <w:t>2.6万</w:t>
      </w:r>
      <w:r>
        <w:rPr>
          <w:szCs w:val="28"/>
        </w:rPr>
        <w:t>亩。工矿废弃地复垦初见成效，两个批次工矿废弃地已通过市局验收，单位土地利用度不断提高。土壤污染防治能力大幅提升，土壤污染防治工作取得新成效。</w:t>
      </w:r>
    </w:p>
    <w:p w14:paraId="15930041">
      <w:pPr>
        <w:adjustRightInd w:val="0"/>
        <w:snapToGrid w:val="0"/>
        <w:spacing w:line="420" w:lineRule="auto"/>
        <w:ind w:firstLine="560"/>
        <w:rPr>
          <w:szCs w:val="28"/>
        </w:rPr>
      </w:pPr>
      <w:r>
        <w:rPr>
          <w:b/>
          <w:bCs/>
          <w:szCs w:val="28"/>
        </w:rPr>
        <w:t>节能减排成果丰硕。</w:t>
      </w:r>
      <w:r>
        <w:rPr>
          <w:szCs w:val="28"/>
        </w:rPr>
        <w:t>全县重点排污企业废水、废气达标排放率均达到98%以上，化学需氧量、氨氮排放量、二氧化硫排放量、氮氧化物排放量均完成省市下达节能减排任务。高效生物复合肥项目、水果脱皮、果渣副产物综合利用项目在产业上实现了有效衔接，能源、资源、废物利用率大幅提高，污染物排放大幅削减。</w:t>
      </w:r>
    </w:p>
    <w:p w14:paraId="274DCA84">
      <w:pPr>
        <w:pStyle w:val="21"/>
        <w:spacing w:line="420" w:lineRule="auto"/>
        <w:ind w:firstLine="560"/>
        <w:rPr>
          <w:rFonts w:eastAsia="仿宋"/>
          <w:sz w:val="28"/>
          <w:szCs w:val="28"/>
        </w:rPr>
      </w:pPr>
      <w:r>
        <w:rPr>
          <w:rFonts w:eastAsia="仿宋"/>
          <w:b/>
          <w:bCs/>
          <w:sz w:val="28"/>
          <w:szCs w:val="28"/>
        </w:rPr>
        <w:t>生态创建成效显著。</w:t>
      </w:r>
      <w:r>
        <w:rPr>
          <w:rFonts w:eastAsia="仿宋"/>
          <w:sz w:val="28"/>
          <w:szCs w:val="28"/>
        </w:rPr>
        <w:t>截至20</w:t>
      </w:r>
      <w:r>
        <w:rPr>
          <w:rFonts w:hint="eastAsia" w:eastAsia="仿宋"/>
          <w:sz w:val="28"/>
          <w:szCs w:val="28"/>
        </w:rPr>
        <w:t>20</w:t>
      </w:r>
      <w:r>
        <w:rPr>
          <w:rFonts w:eastAsia="仿宋"/>
          <w:sz w:val="28"/>
          <w:szCs w:val="28"/>
        </w:rPr>
        <w:t>年</w:t>
      </w:r>
      <w:r>
        <w:rPr>
          <w:rFonts w:hint="eastAsia" w:eastAsia="仿宋"/>
          <w:sz w:val="28"/>
          <w:szCs w:val="28"/>
        </w:rPr>
        <w:t>底</w:t>
      </w:r>
      <w:r>
        <w:rPr>
          <w:rFonts w:eastAsia="仿宋"/>
          <w:sz w:val="28"/>
          <w:szCs w:val="28"/>
        </w:rPr>
        <w:t>，新增绿地面积</w:t>
      </w:r>
      <w:r>
        <w:rPr>
          <w:rFonts w:hint="eastAsia" w:eastAsia="仿宋"/>
          <w:color w:val="auto"/>
          <w:sz w:val="28"/>
          <w:szCs w:val="28"/>
        </w:rPr>
        <w:t>2.6</w:t>
      </w:r>
      <w:r>
        <w:rPr>
          <w:rFonts w:eastAsia="仿宋"/>
          <w:color w:val="auto"/>
          <w:sz w:val="28"/>
          <w:szCs w:val="28"/>
        </w:rPr>
        <w:t>万</w:t>
      </w:r>
      <w:r>
        <w:rPr>
          <w:rFonts w:hint="eastAsia" w:eastAsia="仿宋"/>
          <w:color w:val="auto"/>
          <w:sz w:val="28"/>
          <w:szCs w:val="28"/>
        </w:rPr>
        <w:t>亩</w:t>
      </w:r>
      <w:r>
        <w:rPr>
          <w:rFonts w:eastAsia="仿宋"/>
          <w:color w:val="auto"/>
          <w:sz w:val="28"/>
          <w:szCs w:val="28"/>
        </w:rPr>
        <w:t>，森林覆盖率达</w:t>
      </w:r>
      <w:r>
        <w:rPr>
          <w:rFonts w:hint="eastAsia" w:eastAsia="仿宋"/>
          <w:color w:val="auto"/>
          <w:sz w:val="28"/>
          <w:szCs w:val="28"/>
        </w:rPr>
        <w:t>65.02%</w:t>
      </w:r>
      <w:r>
        <w:rPr>
          <w:rFonts w:hint="eastAsia" w:eastAsia="仿宋"/>
          <w:sz w:val="28"/>
          <w:szCs w:val="28"/>
        </w:rPr>
        <w:t>左右</w:t>
      </w:r>
      <w:r>
        <w:rPr>
          <w:rFonts w:eastAsia="仿宋"/>
          <w:sz w:val="28"/>
          <w:szCs w:val="28"/>
        </w:rPr>
        <w:t>。成功创建省级园林县城和省级森林城市，创建良梨镇等省级森林城镇</w:t>
      </w:r>
      <w:r>
        <w:rPr>
          <w:rFonts w:hint="eastAsia" w:eastAsia="仿宋"/>
          <w:sz w:val="28"/>
          <w:szCs w:val="28"/>
        </w:rPr>
        <w:t>9</w:t>
      </w:r>
      <w:r>
        <w:rPr>
          <w:rFonts w:eastAsia="仿宋"/>
          <w:sz w:val="28"/>
          <w:szCs w:val="28"/>
        </w:rPr>
        <w:t>个、省级森林村庄4</w:t>
      </w:r>
      <w:r>
        <w:rPr>
          <w:rFonts w:hint="eastAsia" w:eastAsia="仿宋"/>
          <w:sz w:val="28"/>
          <w:szCs w:val="28"/>
        </w:rPr>
        <w:t>8</w:t>
      </w:r>
      <w:r>
        <w:rPr>
          <w:rFonts w:eastAsia="仿宋"/>
          <w:sz w:val="28"/>
          <w:szCs w:val="28"/>
        </w:rPr>
        <w:t>个。积极开展生态创建工作，成功创建唐寨镇等4个省级生态镇、关帝庙镇黄屯村等11个省级生态村，国家级生态县创建工作扎实推进，乡村生态环境不断改善。荣获</w:t>
      </w:r>
      <w:r>
        <w:rPr>
          <w:rFonts w:hint="eastAsia" w:eastAsia="仿宋"/>
          <w:sz w:val="28"/>
          <w:szCs w:val="28"/>
        </w:rPr>
        <w:t>“全国防沙治沙先进集体”</w:t>
      </w:r>
      <w:r>
        <w:rPr>
          <w:rFonts w:eastAsia="仿宋"/>
          <w:sz w:val="28"/>
          <w:szCs w:val="28"/>
        </w:rPr>
        <w:t>称号。</w:t>
      </w:r>
    </w:p>
    <w:p w14:paraId="568AE47C">
      <w:pPr>
        <w:pStyle w:val="9"/>
        <w:spacing w:line="420" w:lineRule="auto"/>
        <w:ind w:left="0" w:leftChars="0" w:firstLine="560"/>
        <w:outlineLvl w:val="2"/>
        <w:rPr>
          <w:b/>
          <w:bCs/>
        </w:rPr>
      </w:pPr>
      <w:bookmarkStart w:id="5" w:name="_Toc13511"/>
      <w:r>
        <w:rPr>
          <w:rFonts w:hint="eastAsia"/>
          <w:b/>
          <w:bCs/>
        </w:rPr>
        <w:t>三、</w:t>
      </w:r>
      <w:r>
        <w:rPr>
          <w:b/>
          <w:bCs/>
        </w:rPr>
        <w:t>污染防治攻坚战成效显著</w:t>
      </w:r>
      <w:bookmarkEnd w:id="5"/>
    </w:p>
    <w:p w14:paraId="75319E7B">
      <w:pPr>
        <w:pStyle w:val="9"/>
        <w:spacing w:after="0" w:line="420" w:lineRule="auto"/>
        <w:ind w:left="0" w:leftChars="0" w:firstLine="560"/>
        <w:rPr>
          <w:b/>
          <w:bCs/>
        </w:rPr>
      </w:pPr>
      <w:r>
        <w:rPr>
          <w:rFonts w:hint="eastAsia"/>
          <w:b/>
          <w:bCs/>
        </w:rPr>
        <w:t>1、蓝天保卫战持续推进</w:t>
      </w:r>
    </w:p>
    <w:p w14:paraId="79DBA15D">
      <w:pPr>
        <w:pStyle w:val="9"/>
        <w:spacing w:after="0" w:line="420" w:lineRule="auto"/>
        <w:ind w:left="0" w:leftChars="0" w:firstLine="560"/>
        <w:rPr>
          <w:kern w:val="0"/>
          <w:szCs w:val="28"/>
        </w:rPr>
      </w:pPr>
      <w:r>
        <w:rPr>
          <w:kern w:val="0"/>
          <w:szCs w:val="28"/>
        </w:rPr>
        <w:t>认真落实国务院《大气污染防治行动计划》，为坚决打赢蓝天保卫战，根据国务院、安徽省、宿州市打赢蓝天保卫战三年行动计划实施方案，结合砀山县实际，制定了《砀山县大气污染防治行动工作计划》</w:t>
      </w:r>
      <w:r>
        <w:rPr>
          <w:rFonts w:hint="eastAsia"/>
          <w:kern w:val="0"/>
          <w:szCs w:val="28"/>
        </w:rPr>
        <w:t>和《砀山县打赢蓝天保卫战三年行动计划实施方案》</w:t>
      </w:r>
      <w:r>
        <w:rPr>
          <w:kern w:val="0"/>
          <w:szCs w:val="28"/>
        </w:rPr>
        <w:t>。</w:t>
      </w:r>
    </w:p>
    <w:p w14:paraId="4172CA19">
      <w:pPr>
        <w:pStyle w:val="9"/>
        <w:spacing w:after="0" w:line="420" w:lineRule="auto"/>
        <w:ind w:left="0" w:leftChars="0" w:firstLine="560"/>
        <w:rPr>
          <w:rFonts w:eastAsia="仿宋_GB2312"/>
          <w:kern w:val="0"/>
          <w:szCs w:val="28"/>
          <w:lang w:bidi="ar"/>
        </w:rPr>
      </w:pPr>
      <w:r>
        <w:rPr>
          <w:b/>
          <w:bCs/>
          <w:szCs w:val="28"/>
        </w:rPr>
        <w:t>废气点源治理工作成果显著。</w:t>
      </w:r>
      <w:r>
        <w:rPr>
          <w:szCs w:val="28"/>
        </w:rPr>
        <w:t>一是餐饮油烟专项治理，</w:t>
      </w:r>
      <w:r>
        <w:rPr>
          <w:rFonts w:eastAsia="仿宋_GB2312"/>
          <w:kern w:val="0"/>
          <w:szCs w:val="28"/>
          <w:lang w:bidi="ar"/>
        </w:rPr>
        <w:t>制定了《餐饮业油烟集中整治专项行动实施方案》，对城区394余家餐饮店安装电子油烟净化装置，清理出店经营20处、取缔夜市排挡露天烧烤18处。二是</w:t>
      </w:r>
      <w:r>
        <w:rPr>
          <w:szCs w:val="28"/>
        </w:rPr>
        <w:t>城区燃煤小锅炉集中整治，</w:t>
      </w:r>
      <w:r>
        <w:rPr>
          <w:rFonts w:eastAsia="仿宋_GB2312"/>
          <w:kern w:val="0"/>
          <w:szCs w:val="28"/>
          <w:lang w:bidi="ar"/>
        </w:rPr>
        <w:t>印发了《开展燃煤锅炉、土炉灶专项行动治理方案》，深入开展专项行动，取缔城区燃煤小锅炉共58家（拆除23家，改造成生物质锅炉34家，强化燃煤小锅炉整治。改造成电炉1家）。取缔工业企业燃煤锅炉共37台（拆除7台，改造成生物质锅炉26台，改造成燃气4家）</w:t>
      </w:r>
      <w:r>
        <w:rPr>
          <w:szCs w:val="28"/>
        </w:rPr>
        <w:t>。三是全县挥发性有机物综合治理，</w:t>
      </w:r>
      <w:r>
        <w:rPr>
          <w:rFonts w:eastAsia="仿宋_GB2312"/>
          <w:kern w:val="0"/>
          <w:szCs w:val="28"/>
          <w:lang w:bidi="ar"/>
        </w:rPr>
        <w:t>出台了《砀山县挥发性有机物专项整治方案》，完成全县41家使用胶黏剂木业企业挥发性有机物治理，以及23家重点工业企业强制性清洁生产审核工作任务。四是</w:t>
      </w:r>
      <w:r>
        <w:rPr>
          <w:szCs w:val="28"/>
        </w:rPr>
        <w:t>加油站点的规范整治。县政府出台了《砀山县巩固非法加油站（点）清剿成果规范成品油市场经营秩序的实施意见》，全县共清理清查非法加油站</w:t>
      </w:r>
      <w:r>
        <w:rPr>
          <w:rFonts w:hint="eastAsia"/>
          <w:szCs w:val="28"/>
        </w:rPr>
        <w:t>（</w:t>
      </w:r>
      <w:r>
        <w:rPr>
          <w:szCs w:val="28"/>
        </w:rPr>
        <w:t>点</w:t>
      </w:r>
      <w:r>
        <w:rPr>
          <w:rFonts w:hint="eastAsia"/>
          <w:szCs w:val="28"/>
        </w:rPr>
        <w:t>）</w:t>
      </w:r>
      <w:r>
        <w:rPr>
          <w:szCs w:val="28"/>
        </w:rPr>
        <w:t>35户，其中规范超范围经营18户，取缔拆除17户。</w:t>
      </w:r>
    </w:p>
    <w:p w14:paraId="19A2CD3B">
      <w:pPr>
        <w:pStyle w:val="9"/>
        <w:spacing w:after="0" w:line="420" w:lineRule="auto"/>
        <w:ind w:left="0" w:leftChars="0" w:firstLine="560"/>
        <w:rPr>
          <w:szCs w:val="28"/>
        </w:rPr>
      </w:pPr>
      <w:r>
        <w:rPr>
          <w:b/>
          <w:bCs/>
          <w:szCs w:val="28"/>
        </w:rPr>
        <w:t>面源污染防治扎实推进。</w:t>
      </w:r>
      <w:r>
        <w:rPr>
          <w:szCs w:val="28"/>
        </w:rPr>
        <w:t>一是县域扬尘污染防治</w:t>
      </w:r>
      <w:r>
        <w:rPr>
          <w:b/>
          <w:bCs/>
          <w:szCs w:val="28"/>
        </w:rPr>
        <w:t>，</w:t>
      </w:r>
      <w:r>
        <w:rPr>
          <w:rFonts w:eastAsia="仿宋_GB2312"/>
          <w:kern w:val="0"/>
          <w:szCs w:val="28"/>
          <w:lang w:bidi="ar"/>
        </w:rPr>
        <w:t>修订了《砀山县新型墙材和散装水泥</w:t>
      </w:r>
      <w:r>
        <w:rPr>
          <w:rFonts w:hint="eastAsia" w:eastAsia="仿宋_GB2312"/>
          <w:kern w:val="0"/>
          <w:szCs w:val="28"/>
          <w:lang w:bidi="ar"/>
        </w:rPr>
        <w:t>“</w:t>
      </w:r>
      <w:r>
        <w:rPr>
          <w:rFonts w:eastAsia="仿宋_GB2312"/>
          <w:kern w:val="0"/>
          <w:szCs w:val="28"/>
          <w:lang w:bidi="ar"/>
        </w:rPr>
        <w:t>十三五</w:t>
      </w:r>
      <w:r>
        <w:rPr>
          <w:rFonts w:hint="eastAsia" w:eastAsia="仿宋_GB2312"/>
          <w:kern w:val="0"/>
          <w:szCs w:val="28"/>
          <w:lang w:bidi="ar"/>
        </w:rPr>
        <w:t>”</w:t>
      </w:r>
      <w:r>
        <w:rPr>
          <w:rFonts w:eastAsia="仿宋_GB2312"/>
          <w:kern w:val="0"/>
          <w:szCs w:val="28"/>
          <w:lang w:bidi="ar"/>
        </w:rPr>
        <w:t>发展规划》</w:t>
      </w:r>
      <w:r>
        <w:rPr>
          <w:rFonts w:hint="eastAsia" w:eastAsia="仿宋_GB2312"/>
          <w:kern w:val="0"/>
          <w:szCs w:val="28"/>
          <w:lang w:bidi="ar"/>
        </w:rPr>
        <w:t>、</w:t>
      </w:r>
      <w:r>
        <w:rPr>
          <w:rFonts w:eastAsia="仿宋_GB2312"/>
          <w:kern w:val="0"/>
          <w:szCs w:val="28"/>
          <w:lang w:bidi="ar"/>
        </w:rPr>
        <w:t>《建筑扬尘污染治理方案》，对全县建筑工地进行网格化管理，并督促安装扬尘在线监测仪和远程视频监控，基本达到了1万平米以上的施工项目在线监控全覆盖。对存在环境问题的17家在建工地、7个拆迁地块进行停工整改，拆除16家非法搅拌站。二是出台了《砀山县石料加工、煤矸石、砖瓦窑厂环保督查整改工作实施方案》，强化砖瓦窑厂粉尘治理。三是规范渣土运输管理，严查超载、抛洒等行为，严厉打击车辆非法营运。关停涉路施工临时设立的12个物料拌和点，取缔8家非法砂石料场。四是印发了《砀山县人民政府关于禁止销售和燃放烟花爆竹</w:t>
      </w:r>
      <w:r>
        <w:rPr>
          <w:rFonts w:hint="eastAsia" w:eastAsia="仿宋_GB2312"/>
          <w:kern w:val="0"/>
          <w:szCs w:val="28"/>
          <w:lang w:bidi="ar"/>
        </w:rPr>
        <w:t>的</w:t>
      </w:r>
      <w:r>
        <w:rPr>
          <w:rFonts w:eastAsia="仿宋_GB2312"/>
          <w:kern w:val="0"/>
          <w:szCs w:val="28"/>
          <w:lang w:bidi="ar"/>
        </w:rPr>
        <w:t>通知》，自2018年9月1日起，在城区及非城区重点区域禁止销售和燃放烟花爆竹。</w:t>
      </w:r>
    </w:p>
    <w:p w14:paraId="1BCDC5FE">
      <w:pPr>
        <w:pStyle w:val="9"/>
        <w:spacing w:after="0" w:line="420" w:lineRule="auto"/>
        <w:ind w:left="0" w:leftChars="0" w:firstLine="560"/>
        <w:rPr>
          <w:rFonts w:eastAsia="仿宋_GB2312"/>
          <w:kern w:val="0"/>
          <w:szCs w:val="28"/>
          <w:lang w:bidi="ar"/>
        </w:rPr>
      </w:pPr>
      <w:r>
        <w:rPr>
          <w:b/>
          <w:bCs/>
          <w:szCs w:val="28"/>
        </w:rPr>
        <w:t>秸秆禁烧工作有效落实</w:t>
      </w:r>
      <w:r>
        <w:rPr>
          <w:szCs w:val="28"/>
        </w:rPr>
        <w:t>。制定了《砀山县秸秆综合利用和禁烧工作方案》，明确了各部门职责，建立了县、镇（园区）、村、组四级整体联动工作机制，</w:t>
      </w:r>
      <w:r>
        <w:rPr>
          <w:rFonts w:eastAsia="仿宋_GB2312"/>
          <w:kern w:val="0"/>
          <w:szCs w:val="28"/>
          <w:lang w:bidi="ar"/>
        </w:rPr>
        <w:t>不断完善责任包保、风险抵押金、督查巡查、奖补激励等工作机制，引进</w:t>
      </w:r>
      <w:r>
        <w:rPr>
          <w:rFonts w:hint="eastAsia" w:eastAsia="仿宋_GB2312"/>
          <w:kern w:val="0"/>
          <w:szCs w:val="28"/>
          <w:lang w:bidi="ar"/>
        </w:rPr>
        <w:t>“</w:t>
      </w:r>
      <w:r>
        <w:rPr>
          <w:rFonts w:eastAsia="仿宋_GB2312"/>
          <w:kern w:val="0"/>
          <w:szCs w:val="28"/>
          <w:lang w:bidi="ar"/>
        </w:rPr>
        <w:t>蓝天卫士</w:t>
      </w:r>
      <w:r>
        <w:rPr>
          <w:rFonts w:hint="eastAsia" w:eastAsia="仿宋_GB2312"/>
          <w:kern w:val="0"/>
          <w:szCs w:val="28"/>
          <w:lang w:bidi="ar"/>
        </w:rPr>
        <w:t>”</w:t>
      </w:r>
      <w:r>
        <w:rPr>
          <w:rFonts w:eastAsia="仿宋_GB2312"/>
          <w:kern w:val="0"/>
          <w:szCs w:val="28"/>
          <w:lang w:bidi="ar"/>
        </w:rPr>
        <w:t>高科技监控手段，加强农机储备和收储体系、民生工程项目等秸秆综合利用能力建设，秸秆综合利用达到90%以上</w:t>
      </w:r>
      <w:r>
        <w:rPr>
          <w:rFonts w:hint="eastAsia" w:eastAsia="仿宋_GB2312"/>
          <w:kern w:val="0"/>
          <w:szCs w:val="28"/>
          <w:lang w:bidi="ar"/>
        </w:rPr>
        <w:t>。</w:t>
      </w:r>
      <w:r>
        <w:rPr>
          <w:rFonts w:eastAsia="仿宋_GB2312"/>
          <w:kern w:val="0"/>
          <w:szCs w:val="28"/>
          <w:lang w:bidi="ar"/>
        </w:rPr>
        <w:t>成立4个大气督查组和15个秸秆禁烧督查组，坚持每天24小时巡查、督查，秸秆禁烧连续九年</w:t>
      </w:r>
      <w:r>
        <w:rPr>
          <w:rFonts w:hint="eastAsia" w:eastAsia="仿宋_GB2312"/>
          <w:kern w:val="0"/>
          <w:szCs w:val="28"/>
          <w:lang w:bidi="ar"/>
        </w:rPr>
        <w:t>“</w:t>
      </w:r>
      <w:r>
        <w:rPr>
          <w:rFonts w:eastAsia="仿宋_GB2312"/>
          <w:kern w:val="0"/>
          <w:szCs w:val="28"/>
          <w:lang w:bidi="ar"/>
        </w:rPr>
        <w:t>零火点</w:t>
      </w:r>
      <w:r>
        <w:rPr>
          <w:rFonts w:hint="eastAsia" w:eastAsia="仿宋_GB2312"/>
          <w:kern w:val="0"/>
          <w:szCs w:val="28"/>
          <w:lang w:bidi="ar"/>
        </w:rPr>
        <w:t>”</w:t>
      </w:r>
      <w:r>
        <w:rPr>
          <w:rFonts w:eastAsia="仿宋_GB2312"/>
          <w:kern w:val="0"/>
          <w:szCs w:val="28"/>
          <w:lang w:bidi="ar"/>
        </w:rPr>
        <w:t>，被评为全省2020年第二批中央财政农作物秸秆综合利用试点县。</w:t>
      </w:r>
    </w:p>
    <w:p w14:paraId="23A95481">
      <w:pPr>
        <w:pStyle w:val="9"/>
        <w:spacing w:after="0" w:line="420" w:lineRule="auto"/>
        <w:ind w:left="0" w:leftChars="0" w:firstLine="562"/>
        <w:rPr>
          <w:rFonts w:eastAsia="仿宋_GB2312"/>
          <w:kern w:val="0"/>
          <w:szCs w:val="28"/>
          <w:lang w:bidi="ar"/>
        </w:rPr>
      </w:pPr>
      <w:r>
        <w:rPr>
          <w:rFonts w:eastAsia="仿宋_GB2312"/>
          <w:b/>
          <w:bCs/>
          <w:kern w:val="0"/>
          <w:szCs w:val="28"/>
          <w:lang w:bidi="ar"/>
        </w:rPr>
        <w:t>积极应对重污染天气</w:t>
      </w:r>
      <w:r>
        <w:rPr>
          <w:rFonts w:eastAsia="仿宋_GB2312"/>
          <w:kern w:val="0"/>
          <w:szCs w:val="28"/>
          <w:lang w:bidi="ar"/>
        </w:rPr>
        <w:t>，</w:t>
      </w:r>
      <w:r>
        <w:rPr>
          <w:rFonts w:hint="eastAsia" w:eastAsia="仿宋_GB2312"/>
          <w:kern w:val="0"/>
          <w:szCs w:val="28"/>
          <w:lang w:bidi="ar"/>
        </w:rPr>
        <w:t>“</w:t>
      </w:r>
      <w:r>
        <w:rPr>
          <w:rFonts w:eastAsia="仿宋_GB2312"/>
          <w:kern w:val="0"/>
          <w:szCs w:val="28"/>
          <w:lang w:bidi="ar"/>
        </w:rPr>
        <w:t>十三五</w:t>
      </w:r>
      <w:r>
        <w:rPr>
          <w:rFonts w:hint="eastAsia" w:eastAsia="仿宋_GB2312"/>
          <w:kern w:val="0"/>
          <w:szCs w:val="28"/>
          <w:lang w:bidi="ar"/>
        </w:rPr>
        <w:t>”</w:t>
      </w:r>
      <w:r>
        <w:rPr>
          <w:rFonts w:eastAsia="仿宋_GB2312"/>
          <w:kern w:val="0"/>
          <w:szCs w:val="28"/>
          <w:lang w:bidi="ar"/>
        </w:rPr>
        <w:t>期间共启动</w:t>
      </w:r>
      <w:r>
        <w:rPr>
          <w:rFonts w:hint="eastAsia" w:eastAsia="仿宋_GB2312"/>
          <w:kern w:val="0"/>
          <w:szCs w:val="28"/>
          <w:lang w:bidi="ar"/>
        </w:rPr>
        <w:t>6</w:t>
      </w:r>
      <w:r>
        <w:rPr>
          <w:rFonts w:eastAsia="仿宋_GB2312"/>
          <w:kern w:val="0"/>
          <w:szCs w:val="28"/>
          <w:lang w:bidi="ar"/>
        </w:rPr>
        <w:t>次重污染天气应急预案，</w:t>
      </w:r>
      <w:r>
        <w:rPr>
          <w:rFonts w:hint="eastAsia" w:eastAsia="仿宋_GB2312"/>
          <w:kern w:val="0"/>
          <w:szCs w:val="28"/>
          <w:lang w:bidi="ar"/>
        </w:rPr>
        <w:t>共</w:t>
      </w:r>
      <w:r>
        <w:rPr>
          <w:rFonts w:eastAsia="仿宋_GB2312"/>
          <w:kern w:val="0"/>
          <w:szCs w:val="28"/>
          <w:lang w:bidi="ar"/>
        </w:rPr>
        <w:t>清理整治</w:t>
      </w:r>
      <w:r>
        <w:rPr>
          <w:rFonts w:hint="eastAsia" w:eastAsia="仿宋_GB2312"/>
          <w:kern w:val="0"/>
          <w:szCs w:val="28"/>
          <w:lang w:bidi="ar"/>
        </w:rPr>
        <w:t>“</w:t>
      </w:r>
      <w:r>
        <w:rPr>
          <w:rFonts w:eastAsia="仿宋_GB2312"/>
          <w:kern w:val="0"/>
          <w:szCs w:val="28"/>
          <w:lang w:bidi="ar"/>
        </w:rPr>
        <w:t>散乱污</w:t>
      </w:r>
      <w:r>
        <w:rPr>
          <w:rFonts w:hint="eastAsia" w:eastAsia="仿宋_GB2312"/>
          <w:kern w:val="0"/>
          <w:szCs w:val="28"/>
          <w:lang w:bidi="ar"/>
        </w:rPr>
        <w:t>”</w:t>
      </w:r>
      <w:r>
        <w:rPr>
          <w:rFonts w:eastAsia="仿宋_GB2312"/>
          <w:kern w:val="0"/>
          <w:szCs w:val="28"/>
          <w:lang w:bidi="ar"/>
        </w:rPr>
        <w:t>企业485家，组织开展6次整改督查工作，共督查16个镇（园区）128家企业，有效的改善</w:t>
      </w:r>
      <w:r>
        <w:rPr>
          <w:rFonts w:hint="eastAsia" w:eastAsia="仿宋_GB2312"/>
          <w:kern w:val="0"/>
          <w:szCs w:val="28"/>
          <w:lang w:bidi="ar"/>
        </w:rPr>
        <w:t>县</w:t>
      </w:r>
      <w:r>
        <w:rPr>
          <w:rFonts w:eastAsia="仿宋_GB2312"/>
          <w:kern w:val="0"/>
          <w:szCs w:val="28"/>
          <w:lang w:bidi="ar"/>
        </w:rPr>
        <w:t>域内环境空气质量。全县未新建、改扩建高污染染料项目，未新批各类燃煤锅炉。广大市民感受到的蓝天白云天数明显增多，</w:t>
      </w:r>
      <w:r>
        <w:rPr>
          <w:rFonts w:hint="eastAsia" w:eastAsia="仿宋_GB2312"/>
          <w:kern w:val="0"/>
          <w:szCs w:val="28"/>
          <w:lang w:bidi="ar"/>
        </w:rPr>
        <w:t>“</w:t>
      </w:r>
      <w:r>
        <w:rPr>
          <w:rFonts w:eastAsia="仿宋_GB2312"/>
          <w:kern w:val="0"/>
          <w:szCs w:val="28"/>
          <w:lang w:bidi="ar"/>
        </w:rPr>
        <w:t>砀山蓝</w:t>
      </w:r>
      <w:r>
        <w:rPr>
          <w:rFonts w:hint="eastAsia" w:eastAsia="仿宋_GB2312"/>
          <w:kern w:val="0"/>
          <w:szCs w:val="28"/>
          <w:lang w:bidi="ar"/>
        </w:rPr>
        <w:t>”</w:t>
      </w:r>
      <w:r>
        <w:rPr>
          <w:rFonts w:eastAsia="仿宋_GB2312"/>
          <w:kern w:val="0"/>
          <w:szCs w:val="28"/>
          <w:lang w:bidi="ar"/>
        </w:rPr>
        <w:t>时常刷爆朋友圈。</w:t>
      </w:r>
    </w:p>
    <w:p w14:paraId="14966E80">
      <w:pPr>
        <w:pStyle w:val="9"/>
        <w:spacing w:after="0" w:line="420" w:lineRule="auto"/>
        <w:ind w:left="0" w:leftChars="0" w:firstLine="560"/>
        <w:rPr>
          <w:b/>
          <w:bCs/>
        </w:rPr>
      </w:pPr>
      <w:r>
        <w:rPr>
          <w:rFonts w:hint="eastAsia"/>
          <w:b/>
          <w:bCs/>
        </w:rPr>
        <w:t>2、碧水保卫战坚决有力</w:t>
      </w:r>
    </w:p>
    <w:p w14:paraId="19916145">
      <w:pPr>
        <w:pStyle w:val="9"/>
        <w:spacing w:after="0" w:line="420" w:lineRule="auto"/>
        <w:ind w:left="0" w:leftChars="0" w:firstLine="560"/>
        <w:rPr>
          <w:kern w:val="0"/>
          <w:szCs w:val="28"/>
        </w:rPr>
      </w:pPr>
      <w:r>
        <w:rPr>
          <w:kern w:val="0"/>
          <w:szCs w:val="28"/>
        </w:rPr>
        <w:t>认真</w:t>
      </w:r>
      <w:r>
        <w:rPr>
          <w:rFonts w:hint="eastAsia"/>
          <w:kern w:val="0"/>
          <w:szCs w:val="28"/>
        </w:rPr>
        <w:t>贯彻</w:t>
      </w:r>
      <w:r>
        <w:rPr>
          <w:kern w:val="0"/>
          <w:szCs w:val="28"/>
        </w:rPr>
        <w:t>落实国务院</w:t>
      </w:r>
      <w:r>
        <w:rPr>
          <w:rFonts w:hint="eastAsia"/>
          <w:kern w:val="0"/>
          <w:szCs w:val="28"/>
        </w:rPr>
        <w:t>《水污染防治行动计划》、《安徽省水污染防治工作方案》（皖政〔2015〕131号）、《宿州市水污染防治工作方案》（宿政发〔2015〕29号）</w:t>
      </w:r>
      <w:r>
        <w:rPr>
          <w:kern w:val="0"/>
          <w:szCs w:val="28"/>
        </w:rPr>
        <w:t>，</w:t>
      </w:r>
      <w:r>
        <w:rPr>
          <w:rFonts w:hint="eastAsia"/>
          <w:kern w:val="0"/>
          <w:szCs w:val="28"/>
        </w:rPr>
        <w:t>制定了《砀山县水污染防治工作方案》</w:t>
      </w:r>
      <w:r>
        <w:rPr>
          <w:rFonts w:hint="eastAsia" w:ascii="仿宋" w:hAnsi="仿宋"/>
          <w:sz w:val="30"/>
          <w:szCs w:val="30"/>
        </w:rPr>
        <w:t>，</w:t>
      </w:r>
      <w:r>
        <w:rPr>
          <w:kern w:val="0"/>
          <w:szCs w:val="28"/>
        </w:rPr>
        <w:t>严格落实河长制、湖长制，努力改善水环境、保护水资源、修复水生态。</w:t>
      </w:r>
    </w:p>
    <w:p w14:paraId="1031E8E5">
      <w:pPr>
        <w:pStyle w:val="9"/>
        <w:spacing w:after="0" w:line="420" w:lineRule="auto"/>
        <w:ind w:left="0" w:leftChars="0" w:firstLine="560"/>
        <w:rPr>
          <w:b/>
          <w:bCs/>
        </w:rPr>
      </w:pPr>
      <w:r>
        <w:rPr>
          <w:rFonts w:hint="eastAsia"/>
          <w:b/>
          <w:bCs/>
          <w:kern w:val="0"/>
          <w:szCs w:val="28"/>
        </w:rPr>
        <w:t>对重点行业、重点企业进行水污染综合治理</w:t>
      </w:r>
      <w:r>
        <w:rPr>
          <w:rFonts w:hint="eastAsia"/>
          <w:kern w:val="0"/>
          <w:szCs w:val="28"/>
        </w:rPr>
        <w:t>，</w:t>
      </w:r>
      <w:r>
        <w:rPr>
          <w:kern w:val="0"/>
          <w:szCs w:val="28"/>
        </w:rPr>
        <w:t>成立三个督察组对 32 家涉水企业进行</w:t>
      </w:r>
      <w:r>
        <w:rPr>
          <w:rFonts w:hint="eastAsia"/>
          <w:kern w:val="0"/>
          <w:szCs w:val="28"/>
        </w:rPr>
        <w:t>“</w:t>
      </w:r>
      <w:r>
        <w:rPr>
          <w:kern w:val="0"/>
          <w:szCs w:val="28"/>
        </w:rPr>
        <w:t>双随机</w:t>
      </w:r>
      <w:r>
        <w:rPr>
          <w:rFonts w:hint="eastAsia"/>
          <w:kern w:val="0"/>
          <w:szCs w:val="28"/>
        </w:rPr>
        <w:t>”</w:t>
      </w:r>
      <w:r>
        <w:rPr>
          <w:kern w:val="0"/>
          <w:szCs w:val="28"/>
        </w:rPr>
        <w:t>抽检水样，检查涉水企业 53 家（次），抽检水样 20 家（次），</w:t>
      </w:r>
      <w:r>
        <w:rPr>
          <w:rFonts w:hint="eastAsia"/>
          <w:kern w:val="0"/>
          <w:szCs w:val="28"/>
        </w:rPr>
        <w:t>同时下达监察意见，责令对污水处理设施定期检修和维护，确保污染防治设施和自动在线监测设备正常运行，达标排放。</w:t>
      </w:r>
      <w:r>
        <w:rPr>
          <w:rFonts w:hint="eastAsia"/>
          <w:b/>
          <w:bCs/>
          <w:kern w:val="0"/>
          <w:szCs w:val="28"/>
        </w:rPr>
        <w:t>定期开展重点区域地表水环境质量监测、河流断面水质监测、重点污染源监督监测工作</w:t>
      </w:r>
      <w:r>
        <w:rPr>
          <w:rFonts w:hint="eastAsia"/>
          <w:kern w:val="0"/>
          <w:szCs w:val="28"/>
        </w:rPr>
        <w:t>。河流断面和重点污染源每月至少监测一次，发现问题，及时查找原因进行重点查处。</w:t>
      </w:r>
      <w:r>
        <w:rPr>
          <w:rFonts w:hint="eastAsia"/>
          <w:b/>
          <w:bCs/>
          <w:kern w:val="0"/>
          <w:szCs w:val="28"/>
        </w:rPr>
        <w:t>组织开展饮用水水源地保护工作专项行动</w:t>
      </w:r>
      <w:r>
        <w:rPr>
          <w:rFonts w:hint="eastAsia"/>
          <w:kern w:val="0"/>
          <w:szCs w:val="28"/>
        </w:rPr>
        <w:t>，对32个饮用水源地排污口进行清查，设立了警示标志，修复损毁的隔离防护设施、标识标牌等。开展定期水质检验，委托第三方机构每季度对地下水监测1次，水质均达到地下水</w:t>
      </w:r>
      <w:r>
        <w:rPr>
          <w:rFonts w:eastAsia="宋体"/>
          <w:kern w:val="0"/>
          <w:szCs w:val="28"/>
        </w:rPr>
        <w:t>Ⅲ</w:t>
      </w:r>
      <w:r>
        <w:rPr>
          <w:rFonts w:hint="eastAsia"/>
          <w:kern w:val="0"/>
          <w:szCs w:val="28"/>
        </w:rPr>
        <w:t>类标准，定期发布水环境质量和饮用水源情况。</w:t>
      </w:r>
    </w:p>
    <w:p w14:paraId="2FBF6338">
      <w:pPr>
        <w:widowControl/>
        <w:spacing w:line="420" w:lineRule="auto"/>
        <w:ind w:firstLine="560"/>
        <w:rPr>
          <w:kern w:val="0"/>
          <w:szCs w:val="28"/>
        </w:rPr>
      </w:pPr>
      <w:r>
        <w:rPr>
          <w:b/>
          <w:bCs/>
          <w:kern w:val="0"/>
          <w:szCs w:val="28"/>
        </w:rPr>
        <w:t>积极落实河长制</w:t>
      </w:r>
      <w:r>
        <w:rPr>
          <w:kern w:val="0"/>
          <w:szCs w:val="28"/>
        </w:rPr>
        <w:t>，</w:t>
      </w:r>
      <w:r>
        <w:rPr>
          <w:rFonts w:hint="eastAsia"/>
          <w:kern w:val="0"/>
          <w:szCs w:val="28"/>
        </w:rPr>
        <w:t>加快水污染防治，</w:t>
      </w:r>
      <w:r>
        <w:rPr>
          <w:kern w:val="0"/>
          <w:szCs w:val="28"/>
        </w:rPr>
        <w:t>对全县河湖保护工作实行分段包干</w:t>
      </w:r>
      <w:r>
        <w:rPr>
          <w:rFonts w:hint="eastAsia"/>
          <w:kern w:val="0"/>
          <w:szCs w:val="28"/>
        </w:rPr>
        <w:t>。印发了《砀山县全面推行河长制工作方案》，建立了县、镇（园区）、村（居）三级河长制，设立县管河道县级河长制公示牌27块、镇管河沟镇级河长制公示牌114块。完成利民河5条河道共57千米清淤疏浚治理。加强28处“千吨万人”饮用水源地环保执法监管，每月对全县12条河流15个监测断面常规监测。强化26个入河排污口监管，封堵入河排污口15个，对剩余的11个入河排污口进行了雨天水质监测，监测结果均为达标。</w:t>
      </w:r>
    </w:p>
    <w:p w14:paraId="2B6BD47D">
      <w:pPr>
        <w:widowControl/>
        <w:spacing w:line="420" w:lineRule="auto"/>
        <w:ind w:firstLine="560"/>
        <w:rPr>
          <w:kern w:val="0"/>
          <w:szCs w:val="28"/>
        </w:rPr>
      </w:pPr>
      <w:r>
        <w:rPr>
          <w:b/>
          <w:bCs/>
          <w:kern w:val="0"/>
          <w:szCs w:val="28"/>
        </w:rPr>
        <w:t>全面开展黑臭水体环境综合整治</w:t>
      </w:r>
      <w:r>
        <w:rPr>
          <w:kern w:val="0"/>
          <w:szCs w:val="28"/>
        </w:rPr>
        <w:t>，</w:t>
      </w:r>
      <w:r>
        <w:rPr>
          <w:rFonts w:hint="eastAsia"/>
          <w:kern w:val="0"/>
          <w:szCs w:val="28"/>
        </w:rPr>
        <w:t>完成环城河、陈庄沟、利民河城市黑臭水体治理。加强入河排污口和黑臭水体综合整治，对全县26个排污口制定了整改方案，委托市水利设计院编制了《砀山县一河一策达标实施方案》，并逐步实施推进。加强河道日常保洁管理，确保垃圾不入河，巩固和提升治理成果。</w:t>
      </w:r>
    </w:p>
    <w:p w14:paraId="1B85A60A">
      <w:pPr>
        <w:widowControl/>
        <w:spacing w:line="420" w:lineRule="auto"/>
        <w:ind w:firstLine="560"/>
        <w:rPr>
          <w:szCs w:val="28"/>
        </w:rPr>
      </w:pPr>
      <w:r>
        <w:rPr>
          <w:rFonts w:hint="eastAsia"/>
          <w:b/>
          <w:bCs/>
          <w:kern w:val="0"/>
          <w:szCs w:val="28"/>
        </w:rPr>
        <w:t>加强规模化畜禽养殖业环境监管</w:t>
      </w:r>
      <w:r>
        <w:rPr>
          <w:rFonts w:hint="eastAsia"/>
          <w:kern w:val="0"/>
          <w:szCs w:val="28"/>
        </w:rPr>
        <w:t>，</w:t>
      </w:r>
      <w:r>
        <w:rPr>
          <w:rFonts w:hint="eastAsia"/>
          <w:b/>
          <w:bCs/>
          <w:kern w:val="0"/>
          <w:szCs w:val="28"/>
        </w:rPr>
        <w:t>强化农村面源污染整治。</w:t>
      </w:r>
      <w:r>
        <w:rPr>
          <w:rFonts w:hint="eastAsia" w:ascii="仿宋" w:hAnsi="仿宋" w:cs="仿宋"/>
          <w:szCs w:val="28"/>
        </w:rPr>
        <w:t>加强养殖场污染治理，依法关闭强英鸭业种鸭一场、三场，责令</w:t>
      </w:r>
      <w:r>
        <w:rPr>
          <w:szCs w:val="28"/>
        </w:rPr>
        <w:t>84家强英联营户完成整改。加大禁养区内养殖场户的关闭搬迁力度，完成禁养区内175家养殖场关闭搬迁工作。加强非禁养区养殖场管理，全县92家规模养殖企业，89家建成完善粪污处理设施，覆盖率96%，运行率达92%以上。</w:t>
      </w:r>
    </w:p>
    <w:p w14:paraId="52FFC5C7">
      <w:pPr>
        <w:widowControl/>
        <w:spacing w:line="420" w:lineRule="auto"/>
        <w:ind w:firstLine="560"/>
        <w:rPr>
          <w:rFonts w:ascii="仿宋" w:hAnsi="仿宋" w:cs="仿宋"/>
          <w:szCs w:val="28"/>
        </w:rPr>
      </w:pPr>
      <w:r>
        <w:rPr>
          <w:rFonts w:hint="eastAsia"/>
          <w:b/>
          <w:bCs/>
          <w:kern w:val="0"/>
          <w:szCs w:val="28"/>
        </w:rPr>
        <w:t>严格污染源自动在线监管，切实加强减排监测体系建设</w:t>
      </w:r>
      <w:r>
        <w:rPr>
          <w:rFonts w:hint="eastAsia"/>
          <w:kern w:val="0"/>
          <w:szCs w:val="28"/>
        </w:rPr>
        <w:t>。</w:t>
      </w:r>
      <w:r>
        <w:rPr>
          <w:rFonts w:hint="eastAsia" w:ascii="仿宋" w:hAnsi="仿宋" w:cs="仿宋"/>
          <w:szCs w:val="28"/>
        </w:rPr>
        <w:t>对全县</w:t>
      </w:r>
      <w:r>
        <w:rPr>
          <w:szCs w:val="28"/>
        </w:rPr>
        <w:t>19家涉水企业在污水处理站安装了远程监控设备，对23</w:t>
      </w:r>
      <w:r>
        <w:rPr>
          <w:rFonts w:hint="eastAsia" w:ascii="仿宋" w:hAnsi="仿宋" w:cs="仿宋"/>
          <w:szCs w:val="28"/>
        </w:rPr>
        <w:t>家重点企业安装了在线监测监控设备，实时监控各企业的污水处理设施运转和外排水情况。在水果加工旺季，坚持实行驻厂监管制度，现场检查治污设施运行情况、以及污染物排放情况。</w:t>
      </w:r>
    </w:p>
    <w:p w14:paraId="55295FBF">
      <w:pPr>
        <w:widowControl/>
        <w:spacing w:line="420" w:lineRule="auto"/>
        <w:ind w:firstLine="560"/>
        <w:rPr>
          <w:rFonts w:ascii="仿宋_GB2312" w:hAnsi="宋体" w:eastAsia="仿宋_GB2312" w:cs="仿宋_GB2312"/>
          <w:kern w:val="0"/>
          <w:sz w:val="32"/>
          <w:szCs w:val="32"/>
          <w:lang w:bidi="ar"/>
        </w:rPr>
      </w:pPr>
      <w:r>
        <w:rPr>
          <w:b/>
          <w:bCs/>
          <w:kern w:val="0"/>
          <w:szCs w:val="28"/>
        </w:rPr>
        <w:t>加快推进污水处理基础设施建设</w:t>
      </w:r>
      <w:r>
        <w:rPr>
          <w:kern w:val="0"/>
          <w:szCs w:val="28"/>
        </w:rPr>
        <w:t>，县污水处理厂完成了提标改造并稳定运行，</w:t>
      </w:r>
      <w:r>
        <w:rPr>
          <w:rFonts w:hint="eastAsia"/>
          <w:kern w:val="0"/>
          <w:szCs w:val="28"/>
        </w:rPr>
        <w:t>二期</w:t>
      </w:r>
      <w:r>
        <w:rPr>
          <w:kern w:val="0"/>
          <w:szCs w:val="28"/>
        </w:rPr>
        <w:t>扩建及</w:t>
      </w:r>
      <w:r>
        <w:rPr>
          <w:rFonts w:hint="eastAsia"/>
          <w:kern w:val="0"/>
          <w:szCs w:val="28"/>
        </w:rPr>
        <w:t>中水回用</w:t>
      </w:r>
      <w:r>
        <w:rPr>
          <w:kern w:val="0"/>
          <w:szCs w:val="28"/>
        </w:rPr>
        <w:t>工程完成建设并投入运行</w:t>
      </w:r>
      <w:r>
        <w:rPr>
          <w:rFonts w:hint="eastAsia"/>
          <w:kern w:val="0"/>
          <w:szCs w:val="28"/>
        </w:rPr>
        <w:t>。积极协调督促解决工业园区突出环境问题，</w:t>
      </w:r>
      <w:r>
        <w:rPr>
          <w:kern w:val="0"/>
          <w:szCs w:val="28"/>
        </w:rPr>
        <w:t>县经济开发区工业污水处理厂于2018年6月投入使用，</w:t>
      </w:r>
      <w:r>
        <w:rPr>
          <w:szCs w:val="28"/>
        </w:rPr>
        <w:t>总投资约1.2亿元，工业污水处理能力2万吨/日，日处理污水4000吨</w:t>
      </w:r>
      <w:r>
        <w:rPr>
          <w:kern w:val="0"/>
          <w:szCs w:val="28"/>
        </w:rPr>
        <w:t>；</w:t>
      </w:r>
      <w:r>
        <w:rPr>
          <w:szCs w:val="28"/>
        </w:rPr>
        <w:t>13个镇园区污水集中处理设施采取PPP模式由国桢环保公司建设运行，总投资2.5亿元，设计污水处理能力为1.7万吨/日，已建成运行。</w:t>
      </w:r>
      <w:r>
        <w:rPr>
          <w:rFonts w:hint="eastAsia"/>
        </w:rPr>
        <w:t>截至</w:t>
      </w:r>
      <w:r>
        <w:rPr>
          <w:rFonts w:hint="eastAsia"/>
          <w:kern w:val="0"/>
          <w:szCs w:val="28"/>
        </w:rPr>
        <w:t>2020年，全县已完成农村生活污水治理工作。</w:t>
      </w:r>
    </w:p>
    <w:p w14:paraId="4424F90D">
      <w:pPr>
        <w:pStyle w:val="9"/>
        <w:spacing w:after="0" w:line="420" w:lineRule="auto"/>
        <w:ind w:left="0" w:leftChars="0" w:firstLine="560"/>
        <w:rPr>
          <w:b/>
          <w:bCs/>
        </w:rPr>
      </w:pPr>
      <w:r>
        <w:rPr>
          <w:rFonts w:hint="eastAsia"/>
          <w:b/>
          <w:bCs/>
        </w:rPr>
        <w:t>3、净土保卫战扎实开展</w:t>
      </w:r>
    </w:p>
    <w:p w14:paraId="34BB83D5">
      <w:pPr>
        <w:pStyle w:val="9"/>
        <w:spacing w:after="0" w:line="420" w:lineRule="auto"/>
        <w:ind w:left="0" w:leftChars="0" w:firstLine="560"/>
        <w:rPr>
          <w:b/>
          <w:bCs/>
        </w:rPr>
      </w:pPr>
      <w:r>
        <w:rPr>
          <w:kern w:val="0"/>
          <w:szCs w:val="28"/>
        </w:rPr>
        <w:t>按照国家和安徽省的要求，</w:t>
      </w:r>
      <w:r>
        <w:rPr>
          <w:rFonts w:hint="eastAsia"/>
          <w:kern w:val="0"/>
          <w:szCs w:val="28"/>
        </w:rPr>
        <w:t>切实加强土壤污染防治工作，按照上级统一部署，对砀山县农用地土壤污染状况详查点位进行核查，出台了《砀山县土壤污染防治工作方案》（砀政秘〔2017〕162号），安装了全国土壤污染详查布点设计管理系统，对农用地土壤污染状况详查点位进行核查，划定了11个详查单元，确认点位141个，并定期进行取样监测。《安徽省砀山县土壤污染治理与修复规划》已通过市土壤办审核。同时</w:t>
      </w:r>
      <w:r>
        <w:rPr>
          <w:kern w:val="0"/>
          <w:szCs w:val="28"/>
        </w:rPr>
        <w:t>编制了风险管控方案，建立</w:t>
      </w:r>
      <w:r>
        <w:rPr>
          <w:rFonts w:hint="eastAsia"/>
          <w:kern w:val="0"/>
          <w:szCs w:val="28"/>
        </w:rPr>
        <w:t>了</w:t>
      </w:r>
      <w:r>
        <w:rPr>
          <w:kern w:val="0"/>
          <w:szCs w:val="28"/>
        </w:rPr>
        <w:t>环境评价机制</w:t>
      </w:r>
      <w:r>
        <w:rPr>
          <w:rFonts w:hint="eastAsia"/>
          <w:kern w:val="0"/>
          <w:szCs w:val="28"/>
        </w:rPr>
        <w:t>。</w:t>
      </w:r>
      <w:r>
        <w:rPr>
          <w:kern w:val="0"/>
          <w:szCs w:val="28"/>
        </w:rPr>
        <w:t>完成了</w:t>
      </w:r>
      <w:r>
        <w:rPr>
          <w:rFonts w:hint="eastAsia"/>
          <w:kern w:val="0"/>
          <w:szCs w:val="28"/>
        </w:rPr>
        <w:t>全县</w:t>
      </w:r>
      <w:r>
        <w:rPr>
          <w:kern w:val="0"/>
          <w:szCs w:val="28"/>
        </w:rPr>
        <w:t>污染场地</w:t>
      </w:r>
      <w:r>
        <w:rPr>
          <w:rFonts w:hint="eastAsia"/>
          <w:kern w:val="0"/>
          <w:szCs w:val="28"/>
        </w:rPr>
        <w:t>尤其是砀山县神湖荧光材料有限公司、砀山县有机化工厂、安徽迪邦药业有限公司三个疑似污染地块原厂址的</w:t>
      </w:r>
      <w:r>
        <w:rPr>
          <w:kern w:val="0"/>
          <w:szCs w:val="28"/>
        </w:rPr>
        <w:t>环境调查和风险评估工作，根据调查评价结论，将</w:t>
      </w:r>
      <w:r>
        <w:rPr>
          <w:rFonts w:hint="eastAsia"/>
          <w:kern w:val="0"/>
          <w:szCs w:val="28"/>
        </w:rPr>
        <w:t>部分</w:t>
      </w:r>
      <w:r>
        <w:rPr>
          <w:kern w:val="0"/>
          <w:szCs w:val="28"/>
        </w:rPr>
        <w:t>土地用途确定为城市绿化用地，规避了不合理开发利用带来的环境风险。规范全县工业危险废物和医疗废物管理工作，开展危险废物排查整治专项行动，建立危险废物源名录和台账，严格执行危险废物转移联单制度，保证了危险废物全部得到妥善处置。</w:t>
      </w:r>
    </w:p>
    <w:p w14:paraId="661A536B">
      <w:pPr>
        <w:pStyle w:val="9"/>
        <w:spacing w:after="0" w:line="420" w:lineRule="auto"/>
        <w:ind w:left="0" w:leftChars="0" w:firstLine="560"/>
        <w:outlineLvl w:val="2"/>
        <w:rPr>
          <w:b/>
          <w:bCs/>
          <w:szCs w:val="28"/>
        </w:rPr>
      </w:pPr>
      <w:r>
        <w:rPr>
          <w:rFonts w:hint="eastAsia"/>
          <w:b/>
          <w:bCs/>
          <w:szCs w:val="28"/>
        </w:rPr>
        <w:t>四、</w:t>
      </w:r>
      <w:r>
        <w:rPr>
          <w:rFonts w:hint="eastAsia"/>
          <w:b/>
          <w:bCs/>
        </w:rPr>
        <w:t>环境</w:t>
      </w:r>
      <w:r>
        <w:rPr>
          <w:b/>
          <w:bCs/>
        </w:rPr>
        <w:t>治理体系能力现代化建设</w:t>
      </w:r>
      <w:r>
        <w:rPr>
          <w:rFonts w:hint="eastAsia"/>
          <w:b/>
          <w:bCs/>
        </w:rPr>
        <w:t>逐步健全</w:t>
      </w:r>
    </w:p>
    <w:p w14:paraId="0C30F118">
      <w:pPr>
        <w:pStyle w:val="9"/>
        <w:spacing w:after="0" w:line="420" w:lineRule="auto"/>
        <w:ind w:left="0" w:leftChars="0" w:firstLine="560"/>
        <w:rPr>
          <w:kern w:val="0"/>
          <w:szCs w:val="28"/>
        </w:rPr>
      </w:pPr>
      <w:r>
        <w:rPr>
          <w:kern w:val="0"/>
          <w:szCs w:val="28"/>
        </w:rPr>
        <w:t>把生态文明建设摆在突出位置来抓</w:t>
      </w:r>
      <w:r>
        <w:rPr>
          <w:rFonts w:hint="eastAsia"/>
          <w:kern w:val="0"/>
          <w:szCs w:val="28"/>
        </w:rPr>
        <w:t>，</w:t>
      </w:r>
      <w:r>
        <w:rPr>
          <w:kern w:val="0"/>
          <w:szCs w:val="28"/>
        </w:rPr>
        <w:t>定期召开相关会议</w:t>
      </w:r>
      <w:r>
        <w:rPr>
          <w:rFonts w:hint="eastAsia"/>
          <w:kern w:val="0"/>
          <w:szCs w:val="28"/>
        </w:rPr>
        <w:t>，</w:t>
      </w:r>
      <w:r>
        <w:rPr>
          <w:kern w:val="0"/>
          <w:szCs w:val="28"/>
        </w:rPr>
        <w:t>研究部署生态环境保护和污染防治工作</w:t>
      </w:r>
      <w:r>
        <w:rPr>
          <w:rFonts w:hint="eastAsia"/>
          <w:kern w:val="0"/>
          <w:szCs w:val="28"/>
        </w:rPr>
        <w:t>，建立生态环境保护管理制度。砀山</w:t>
      </w:r>
      <w:r>
        <w:rPr>
          <w:kern w:val="0"/>
          <w:szCs w:val="28"/>
        </w:rPr>
        <w:t>县生态环境分局、</w:t>
      </w:r>
      <w:r>
        <w:rPr>
          <w:rFonts w:hint="eastAsia"/>
          <w:kern w:val="0"/>
          <w:szCs w:val="28"/>
        </w:rPr>
        <w:t>砀山</w:t>
      </w:r>
      <w:r>
        <w:rPr>
          <w:kern w:val="0"/>
          <w:szCs w:val="28"/>
        </w:rPr>
        <w:t>县生态环境综合行政执法大队相继挂牌成立，生态环境监测监察执法体系</w:t>
      </w:r>
      <w:r>
        <w:rPr>
          <w:rFonts w:hint="eastAsia"/>
          <w:kern w:val="0"/>
          <w:szCs w:val="28"/>
        </w:rPr>
        <w:t>基本</w:t>
      </w:r>
      <w:r>
        <w:rPr>
          <w:kern w:val="0"/>
          <w:szCs w:val="28"/>
        </w:rPr>
        <w:t>建立</w:t>
      </w:r>
      <w:r>
        <w:rPr>
          <w:rFonts w:hint="eastAsia"/>
          <w:kern w:val="0"/>
          <w:szCs w:val="28"/>
        </w:rPr>
        <w:t>。</w:t>
      </w:r>
      <w:r>
        <w:rPr>
          <w:kern w:val="0"/>
          <w:szCs w:val="28"/>
        </w:rPr>
        <w:t>全面贯彻落实新环保法，组织开展多次专项行动，持续加大环境执法力度，加强对钢铁、化工、涉危企业等重点行业的执法监察和监测频次，及时处理发现问题，严格执行行政处罚程序。</w:t>
      </w:r>
      <w:r>
        <w:rPr>
          <w:rFonts w:hint="eastAsia"/>
          <w:kern w:val="0"/>
          <w:szCs w:val="28"/>
        </w:rPr>
        <w:t>全县</w:t>
      </w:r>
      <w:r>
        <w:rPr>
          <w:kern w:val="0"/>
          <w:szCs w:val="28"/>
        </w:rPr>
        <w:t>排污许可登记659家，排污许可证发放39家</w:t>
      </w:r>
      <w:r>
        <w:rPr>
          <w:rFonts w:hint="eastAsia"/>
          <w:kern w:val="0"/>
          <w:szCs w:val="28"/>
        </w:rPr>
        <w:t>，按时</w:t>
      </w:r>
      <w:r>
        <w:rPr>
          <w:kern w:val="0"/>
          <w:szCs w:val="28"/>
        </w:rPr>
        <w:t>完成排污许可</w:t>
      </w:r>
      <w:r>
        <w:rPr>
          <w:rFonts w:hint="eastAsia"/>
          <w:kern w:val="0"/>
          <w:szCs w:val="28"/>
        </w:rPr>
        <w:t>全覆盖</w:t>
      </w:r>
      <w:r>
        <w:rPr>
          <w:kern w:val="0"/>
          <w:szCs w:val="28"/>
        </w:rPr>
        <w:t>工作</w:t>
      </w:r>
      <w:r>
        <w:rPr>
          <w:rFonts w:hint="eastAsia"/>
          <w:kern w:val="0"/>
          <w:szCs w:val="28"/>
        </w:rPr>
        <w:t>。第二次全国污染源普查顺利通过国家和省、市级核查验收。全县共落实入户调查工业企业</w:t>
      </w:r>
      <w:r>
        <w:rPr>
          <w:kern w:val="0"/>
          <w:szCs w:val="28"/>
        </w:rPr>
        <w:t>654</w:t>
      </w:r>
      <w:r>
        <w:rPr>
          <w:rFonts w:hint="eastAsia"/>
          <w:kern w:val="0"/>
          <w:szCs w:val="28"/>
        </w:rPr>
        <w:t>家、</w:t>
      </w:r>
      <w:r>
        <w:rPr>
          <w:kern w:val="0"/>
          <w:szCs w:val="28"/>
        </w:rPr>
        <w:t>集中式污染治理设施8家</w:t>
      </w:r>
      <w:r>
        <w:rPr>
          <w:rFonts w:hint="eastAsia"/>
          <w:kern w:val="0"/>
          <w:szCs w:val="28"/>
        </w:rPr>
        <w:t>、生活垃圾处理厂1家、入河排污口25处、生活源锅炉2家，</w:t>
      </w:r>
      <w:r>
        <w:rPr>
          <w:kern w:val="0"/>
          <w:szCs w:val="28"/>
        </w:rPr>
        <w:t>加油站74家</w:t>
      </w:r>
      <w:r>
        <w:rPr>
          <w:rFonts w:hint="eastAsia"/>
          <w:kern w:val="0"/>
          <w:szCs w:val="28"/>
        </w:rPr>
        <w:t>、</w:t>
      </w:r>
      <w:r>
        <w:rPr>
          <w:kern w:val="0"/>
          <w:szCs w:val="28"/>
        </w:rPr>
        <w:t>行政村164</w:t>
      </w:r>
      <w:r>
        <w:rPr>
          <w:rFonts w:hint="eastAsia"/>
          <w:kern w:val="0"/>
          <w:szCs w:val="28"/>
        </w:rPr>
        <w:t>个</w:t>
      </w:r>
      <w:r>
        <w:rPr>
          <w:kern w:val="0"/>
          <w:szCs w:val="28"/>
        </w:rPr>
        <w:t>，928家县固定污染源</w:t>
      </w:r>
      <w:r>
        <w:rPr>
          <w:rFonts w:hint="eastAsia"/>
          <w:kern w:val="0"/>
          <w:szCs w:val="28"/>
        </w:rPr>
        <w:t>普查工作</w:t>
      </w:r>
      <w:r>
        <w:rPr>
          <w:kern w:val="0"/>
          <w:szCs w:val="28"/>
        </w:rPr>
        <w:t>实现全覆盖。</w:t>
      </w:r>
      <w:r>
        <w:rPr>
          <w:rFonts w:hint="eastAsia"/>
          <w:kern w:val="0"/>
          <w:szCs w:val="28"/>
        </w:rPr>
        <w:t>深化环评制度“放管服”改革，进一步减少审批环节，简化审批流程，压缩办理时限。建立环评、“三同时”、排污许可衔接的管理体制。</w:t>
      </w:r>
      <w:r>
        <w:rPr>
          <w:kern w:val="0"/>
          <w:szCs w:val="28"/>
        </w:rPr>
        <w:t>坚持生态环境保护与经济发展同步推进，推进一二三产业融合发展，推动生态要素向生产要素、生态财富向物质财富转变，持续打通</w:t>
      </w:r>
      <w:r>
        <w:rPr>
          <w:rFonts w:hint="eastAsia"/>
          <w:kern w:val="0"/>
          <w:szCs w:val="28"/>
        </w:rPr>
        <w:t>“</w:t>
      </w:r>
      <w:r>
        <w:rPr>
          <w:kern w:val="0"/>
          <w:szCs w:val="28"/>
        </w:rPr>
        <w:t>绿水青山就是金山银山</w:t>
      </w:r>
      <w:r>
        <w:rPr>
          <w:rFonts w:hint="eastAsia"/>
          <w:kern w:val="0"/>
          <w:szCs w:val="28"/>
        </w:rPr>
        <w:t>”</w:t>
      </w:r>
      <w:r>
        <w:rPr>
          <w:kern w:val="0"/>
          <w:szCs w:val="28"/>
        </w:rPr>
        <w:t>的转换通道。</w:t>
      </w:r>
      <w:r>
        <w:rPr>
          <w:rFonts w:hint="eastAsia"/>
          <w:kern w:val="0"/>
          <w:szCs w:val="28"/>
        </w:rPr>
        <w:t>“十三五”期间，砀山县</w:t>
      </w:r>
      <w:r>
        <w:rPr>
          <w:kern w:val="0"/>
          <w:szCs w:val="28"/>
        </w:rPr>
        <w:t>成功创建</w:t>
      </w:r>
      <w:r>
        <w:rPr>
          <w:szCs w:val="28"/>
        </w:rPr>
        <w:t>省级园林县城</w:t>
      </w:r>
      <w:r>
        <w:rPr>
          <w:rFonts w:hint="eastAsia"/>
          <w:szCs w:val="28"/>
        </w:rPr>
        <w:t>、</w:t>
      </w:r>
      <w:r>
        <w:rPr>
          <w:rFonts w:hint="eastAsia"/>
          <w:kern w:val="0"/>
          <w:szCs w:val="28"/>
        </w:rPr>
        <w:t>省级森林城市。砀山县</w:t>
      </w:r>
      <w:r>
        <w:rPr>
          <w:kern w:val="0"/>
          <w:szCs w:val="28"/>
        </w:rPr>
        <w:t>加大生态系统保护力度</w:t>
      </w:r>
      <w:r>
        <w:rPr>
          <w:rFonts w:hint="eastAsia"/>
          <w:kern w:val="0"/>
          <w:szCs w:val="28"/>
        </w:rPr>
        <w:t>，</w:t>
      </w:r>
      <w:r>
        <w:rPr>
          <w:kern w:val="0"/>
          <w:szCs w:val="28"/>
        </w:rPr>
        <w:t>加强大气污染</w:t>
      </w:r>
      <w:r>
        <w:rPr>
          <w:rFonts w:hint="eastAsia"/>
          <w:kern w:val="0"/>
          <w:szCs w:val="28"/>
        </w:rPr>
        <w:t>防控</w:t>
      </w:r>
      <w:r>
        <w:rPr>
          <w:kern w:val="0"/>
          <w:szCs w:val="28"/>
        </w:rPr>
        <w:t>，持续推进区域空气质量监控</w:t>
      </w:r>
      <w:r>
        <w:rPr>
          <w:rFonts w:hint="eastAsia"/>
          <w:kern w:val="0"/>
          <w:szCs w:val="28"/>
        </w:rPr>
        <w:t>；</w:t>
      </w:r>
      <w:r>
        <w:rPr>
          <w:kern w:val="0"/>
          <w:szCs w:val="28"/>
        </w:rPr>
        <w:t>提升固废危废污染防治水平，加强固废危废无害化处置和综合利用，</w:t>
      </w:r>
      <w:r>
        <w:rPr>
          <w:rFonts w:hint="eastAsia"/>
          <w:kern w:val="0"/>
          <w:szCs w:val="28"/>
        </w:rPr>
        <w:t>持续开展危险废物专项整治和打击</w:t>
      </w:r>
      <w:r>
        <w:rPr>
          <w:kern w:val="0"/>
          <w:szCs w:val="28"/>
        </w:rPr>
        <w:t>固废危废非法跨界转移。</w:t>
      </w:r>
    </w:p>
    <w:p w14:paraId="1489E915">
      <w:pPr>
        <w:pStyle w:val="9"/>
        <w:spacing w:after="0" w:line="420" w:lineRule="auto"/>
        <w:ind w:left="0" w:leftChars="0" w:firstLine="560"/>
        <w:outlineLvl w:val="2"/>
        <w:rPr>
          <w:b/>
          <w:bCs/>
          <w:szCs w:val="28"/>
        </w:rPr>
      </w:pPr>
      <w:r>
        <w:rPr>
          <w:rFonts w:hint="eastAsia"/>
          <w:b/>
          <w:bCs/>
          <w:szCs w:val="28"/>
        </w:rPr>
        <w:t>五、</w:t>
      </w:r>
      <w:r>
        <w:rPr>
          <w:rFonts w:hint="eastAsia"/>
          <w:b/>
          <w:bCs/>
        </w:rPr>
        <w:t>积极推动经济社会</w:t>
      </w:r>
      <w:r>
        <w:rPr>
          <w:b/>
          <w:bCs/>
        </w:rPr>
        <w:t>绿色发展</w:t>
      </w:r>
    </w:p>
    <w:p w14:paraId="5704B747">
      <w:pPr>
        <w:spacing w:line="420" w:lineRule="auto"/>
        <w:ind w:firstLine="560"/>
        <w:rPr>
          <w:kern w:val="0"/>
          <w:szCs w:val="28"/>
        </w:rPr>
      </w:pPr>
      <w:r>
        <w:rPr>
          <w:rFonts w:hint="eastAsia"/>
          <w:b/>
          <w:bCs/>
          <w:kern w:val="0"/>
          <w:szCs w:val="28"/>
        </w:rPr>
        <w:t>加强规划引领，强化生态环境保护刚性约束。</w:t>
      </w:r>
      <w:r>
        <w:rPr>
          <w:rFonts w:hint="eastAsia"/>
          <w:kern w:val="0"/>
          <w:szCs w:val="28"/>
        </w:rPr>
        <w:t>将环境保护指标纳入全县国民经济和社会发展“十三五”规划，生态红线纳入全县空间规划。在全县城乡总体规划、各乡镇规划中设置了环境保护篇章，明确了产业定位和负面清单，为强化项目准入提供了依据。</w:t>
      </w:r>
    </w:p>
    <w:p w14:paraId="5A8F17AE">
      <w:pPr>
        <w:spacing w:line="420" w:lineRule="auto"/>
        <w:ind w:firstLine="560"/>
        <w:rPr>
          <w:kern w:val="0"/>
          <w:szCs w:val="28"/>
        </w:rPr>
      </w:pPr>
      <w:r>
        <w:rPr>
          <w:rFonts w:hint="eastAsia"/>
          <w:b/>
          <w:bCs/>
          <w:kern w:val="0"/>
          <w:szCs w:val="28"/>
        </w:rPr>
        <w:t>强化源头防控，把好环保审批关。</w:t>
      </w:r>
      <w:r>
        <w:rPr>
          <w:rFonts w:hint="eastAsia"/>
          <w:kern w:val="0"/>
          <w:szCs w:val="28"/>
        </w:rPr>
        <w:t>认真执行国家产业政策、环评制度和“三同时”制度，落实“三线一单”（生态保护红线、环境质量底线、资源利用上线和环境准入负面清单）约束，严格环评审查和环保“三同时”监管，从总量控制指标上严格把关，对总量控制指标达不到要求的一律不予审批。开展了建设项目环境管理和“三同时”执行情况执法检查和清查，共清理违法违规项目196个。近年来，我局未审批一家高污染建设项目，直接和间接否定了一批污染严重的项目。有效地从源头控制了高污染、高环境风险行业，进一步释放了生态环保型产业发展空间，促进了转型升级发展。</w:t>
      </w:r>
    </w:p>
    <w:p w14:paraId="006083AE">
      <w:pPr>
        <w:spacing w:line="420" w:lineRule="auto"/>
        <w:ind w:firstLine="560"/>
        <w:rPr>
          <w:kern w:val="0"/>
          <w:szCs w:val="28"/>
        </w:rPr>
      </w:pPr>
      <w:r>
        <w:rPr>
          <w:rFonts w:hint="eastAsia"/>
          <w:b/>
          <w:bCs/>
          <w:kern w:val="0"/>
          <w:szCs w:val="28"/>
        </w:rPr>
        <w:t>抓实抓细抓好环境监测。</w:t>
      </w:r>
      <w:r>
        <w:rPr>
          <w:rFonts w:hint="eastAsia"/>
          <w:kern w:val="0"/>
          <w:szCs w:val="28"/>
        </w:rPr>
        <w:t>一是开展地表水环境质量常规监测。对全县7条主要河流共11个监测断面进行了每月一次的常规监测；二是抓好污染源监测工作。今年以来完成污染源监督性监测任务260余家（次），减排项目监测12 家（次），噪声扰民投诉监测13余起。三是加强突发性污染事故的应急监测培训工作，针对大气、水污染事故进行应急演练。</w:t>
      </w:r>
    </w:p>
    <w:p w14:paraId="2AE0679C">
      <w:pPr>
        <w:spacing w:line="420" w:lineRule="auto"/>
        <w:ind w:firstLine="560"/>
        <w:rPr>
          <w:kern w:val="0"/>
          <w:szCs w:val="28"/>
        </w:rPr>
      </w:pPr>
      <w:r>
        <w:rPr>
          <w:rFonts w:hint="eastAsia"/>
          <w:b/>
          <w:bCs/>
          <w:kern w:val="0"/>
          <w:szCs w:val="28"/>
        </w:rPr>
        <w:t>不断加大环境宣传教育力度。</w:t>
      </w:r>
      <w:r>
        <w:rPr>
          <w:rFonts w:hint="eastAsia"/>
          <w:kern w:val="0"/>
          <w:szCs w:val="28"/>
        </w:rPr>
        <w:t>多措并举扎实开展“六·五”环境日、“江淮普法行”、“3·15”消费者权益日和综治宣传月等系列宣传活动。共发放各类发放宣传资料3万余份，悬挂横幅400余条，接待咨询群众2000余人次。一是在广播电台开办《环保视窗》栏目，累计播放《环保视窗》191期，重播1146期（次），在电视台播放《通告》等640余次。二是开展送法进企业活动。深入550余家（次）企业宣传环保法律法规。三是强化对重点排污企业、重点区域环境监管。强化不定期的夜查和“零点行动”，加大环境污染纠纷投诉调查调节力度，及时依法依规化解各类环境纠纷及不稳定因素。</w:t>
      </w:r>
    </w:p>
    <w:p w14:paraId="11C75D58">
      <w:pPr>
        <w:spacing w:line="420" w:lineRule="auto"/>
        <w:ind w:firstLine="560"/>
        <w:rPr>
          <w:kern w:val="0"/>
          <w:szCs w:val="28"/>
        </w:rPr>
      </w:pPr>
      <w:r>
        <w:rPr>
          <w:rFonts w:hint="eastAsia"/>
          <w:b/>
          <w:bCs/>
          <w:kern w:val="0"/>
          <w:szCs w:val="28"/>
        </w:rPr>
        <w:t>注重环境信访工作。</w:t>
      </w:r>
      <w:r>
        <w:rPr>
          <w:rFonts w:hint="eastAsia"/>
          <w:kern w:val="0"/>
          <w:szCs w:val="28"/>
        </w:rPr>
        <w:t>以落实环境信访工作各项任务为主线，以营造和谐稳定的社会环境为工作重心，狠抓信访案件办理。一是成立了信访问题处理领导小组，抽调专人进行办理，积极化解环境信访投诉；二是对所有信访问题进行了现场核实，分为属实、不属实和部分属实三类；三是相关部门实行了联合执法和现场处置，尤其是对禁养区养殖问题进行了现场查封、拆除设施；对违法违规企业严厉打击，采取了行政拘留强制措施，移送检察院审查起诉；四是对所有信访问题按“一访一册”、“一访一档”的原则建立了专门台帐，相关办结情况、问责情况及时上报。</w:t>
      </w:r>
    </w:p>
    <w:p w14:paraId="2A067E6B">
      <w:pPr>
        <w:pStyle w:val="9"/>
        <w:spacing w:after="0"/>
        <w:ind w:left="0" w:leftChars="0" w:firstLine="560"/>
        <w:outlineLvl w:val="2"/>
        <w:rPr>
          <w:b/>
          <w:bCs/>
          <w:szCs w:val="28"/>
        </w:rPr>
      </w:pPr>
      <w:r>
        <w:rPr>
          <w:rFonts w:hint="eastAsia"/>
          <w:b/>
          <w:bCs/>
          <w:szCs w:val="28"/>
        </w:rPr>
        <w:t>六、“十三五”规划指标完成情况</w:t>
      </w:r>
    </w:p>
    <w:p w14:paraId="6C03FA38">
      <w:pPr>
        <w:pStyle w:val="9"/>
        <w:spacing w:after="0" w:line="420" w:lineRule="auto"/>
        <w:ind w:left="0" w:leftChars="0" w:firstLine="560"/>
        <w:rPr>
          <w:kern w:val="0"/>
          <w:szCs w:val="28"/>
          <w:highlight w:val="none"/>
        </w:rPr>
      </w:pPr>
      <w:r>
        <w:rPr>
          <w:rFonts w:hint="eastAsia"/>
          <w:kern w:val="0"/>
          <w:szCs w:val="28"/>
        </w:rPr>
        <w:t>砀山县“十三五”生态环境保护规划指标体系包括10</w:t>
      </w:r>
      <w:r>
        <w:rPr>
          <w:kern w:val="0"/>
          <w:szCs w:val="28"/>
        </w:rPr>
        <w:t>项</w:t>
      </w:r>
      <w:r>
        <w:rPr>
          <w:kern w:val="0"/>
          <w:szCs w:val="28"/>
          <w:highlight w:val="none"/>
        </w:rPr>
        <w:t>约束性指标</w:t>
      </w:r>
      <w:r>
        <w:rPr>
          <w:rFonts w:hint="eastAsia"/>
          <w:kern w:val="0"/>
          <w:szCs w:val="28"/>
          <w:highlight w:val="none"/>
        </w:rPr>
        <w:t>、3</w:t>
      </w:r>
      <w:r>
        <w:rPr>
          <w:kern w:val="0"/>
          <w:szCs w:val="28"/>
          <w:highlight w:val="none"/>
        </w:rPr>
        <w:t>项预期性指标</w:t>
      </w:r>
      <w:r>
        <w:rPr>
          <w:rFonts w:hint="eastAsia"/>
          <w:kern w:val="0"/>
          <w:szCs w:val="28"/>
          <w:highlight w:val="none"/>
        </w:rPr>
        <w:t>、13项引导性指标。“十三五”时期，砀山县生态环境保护规划实施情况总体顺利，具体完成情况见下表。</w:t>
      </w:r>
    </w:p>
    <w:p w14:paraId="59C9180F">
      <w:pPr>
        <w:spacing w:line="360" w:lineRule="auto"/>
        <w:ind w:firstLine="482"/>
        <w:jc w:val="center"/>
        <w:rPr>
          <w:rFonts w:eastAsia="仿宋_GB2312"/>
          <w:sz w:val="24"/>
          <w:highlight w:val="none"/>
        </w:rPr>
      </w:pPr>
      <w:r>
        <w:rPr>
          <w:rFonts w:hint="eastAsia" w:eastAsia="仿宋_GB2312"/>
          <w:b/>
          <w:bCs/>
          <w:sz w:val="24"/>
          <w:highlight w:val="none"/>
        </w:rPr>
        <w:t>表1</w:t>
      </w:r>
      <w:r>
        <w:rPr>
          <w:rFonts w:eastAsia="仿宋_GB2312"/>
          <w:b/>
          <w:bCs/>
          <w:sz w:val="24"/>
          <w:highlight w:val="none"/>
        </w:rPr>
        <w:t>-</w:t>
      </w:r>
      <w:r>
        <w:rPr>
          <w:rFonts w:hint="eastAsia" w:eastAsia="仿宋_GB2312"/>
          <w:b/>
          <w:bCs/>
          <w:sz w:val="24"/>
          <w:highlight w:val="none"/>
        </w:rPr>
        <w:t>1  砀山县“十三五”环境保护规划指标完成情况</w:t>
      </w:r>
    </w:p>
    <w:tbl>
      <w:tblPr>
        <w:tblStyle w:val="17"/>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06"/>
        <w:gridCol w:w="476"/>
        <w:gridCol w:w="2876"/>
        <w:gridCol w:w="1650"/>
        <w:gridCol w:w="1524"/>
        <w:gridCol w:w="653"/>
      </w:tblGrid>
      <w:tr w14:paraId="3004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blHeader/>
          <w:jc w:val="center"/>
        </w:trPr>
        <w:tc>
          <w:tcPr>
            <w:tcW w:w="371" w:type="pct"/>
            <w:tcBorders>
              <w:top w:val="single" w:color="auto" w:sz="4" w:space="0"/>
              <w:left w:val="single" w:color="auto" w:sz="4" w:space="0"/>
              <w:bottom w:val="single" w:color="auto" w:sz="4" w:space="0"/>
              <w:right w:val="single" w:color="auto" w:sz="4" w:space="0"/>
            </w:tcBorders>
            <w:vAlign w:val="center"/>
          </w:tcPr>
          <w:p w14:paraId="226700E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指标性质</w:t>
            </w:r>
          </w:p>
        </w:tc>
        <w:tc>
          <w:tcPr>
            <w:tcW w:w="618" w:type="pct"/>
            <w:tcBorders>
              <w:top w:val="single" w:color="auto" w:sz="4" w:space="0"/>
              <w:left w:val="single" w:color="auto" w:sz="4" w:space="0"/>
              <w:bottom w:val="single" w:color="auto" w:sz="4" w:space="0"/>
              <w:right w:val="single" w:color="auto" w:sz="4" w:space="0"/>
            </w:tcBorders>
            <w:vAlign w:val="center"/>
          </w:tcPr>
          <w:p w14:paraId="478C14F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指标类别</w:t>
            </w:r>
          </w:p>
        </w:tc>
        <w:tc>
          <w:tcPr>
            <w:tcW w:w="266" w:type="pct"/>
            <w:tcBorders>
              <w:top w:val="single" w:color="auto" w:sz="4" w:space="0"/>
              <w:left w:val="single" w:color="auto" w:sz="4" w:space="0"/>
              <w:bottom w:val="single" w:color="auto" w:sz="4" w:space="0"/>
              <w:right w:val="single" w:color="auto" w:sz="4" w:space="0"/>
            </w:tcBorders>
            <w:vAlign w:val="center"/>
          </w:tcPr>
          <w:p w14:paraId="0F6A224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序号</w:t>
            </w:r>
          </w:p>
        </w:tc>
        <w:tc>
          <w:tcPr>
            <w:tcW w:w="1607" w:type="pct"/>
            <w:tcBorders>
              <w:top w:val="single" w:color="auto" w:sz="4" w:space="0"/>
              <w:left w:val="single" w:color="auto" w:sz="4" w:space="0"/>
              <w:bottom w:val="single" w:color="auto" w:sz="4" w:space="0"/>
              <w:right w:val="single" w:color="auto" w:sz="4" w:space="0"/>
            </w:tcBorders>
            <w:vAlign w:val="center"/>
          </w:tcPr>
          <w:p w14:paraId="233D52A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指标名称</w:t>
            </w:r>
          </w:p>
        </w:tc>
        <w:tc>
          <w:tcPr>
            <w:tcW w:w="922" w:type="pct"/>
            <w:tcBorders>
              <w:top w:val="single" w:color="auto" w:sz="4" w:space="0"/>
              <w:left w:val="single" w:color="auto" w:sz="4" w:space="0"/>
              <w:bottom w:val="single" w:color="auto" w:sz="4" w:space="0"/>
              <w:right w:val="single" w:color="auto" w:sz="4" w:space="0"/>
            </w:tcBorders>
            <w:vAlign w:val="center"/>
          </w:tcPr>
          <w:p w14:paraId="7A40403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ascii="Times New Roman" w:hAnsi="Times New Roman"/>
                <w:b/>
                <w:color w:val="000000"/>
                <w:sz w:val="21"/>
                <w:szCs w:val="21"/>
                <w:highlight w:val="none"/>
              </w:rPr>
              <w:t>2020年目标值</w:t>
            </w:r>
          </w:p>
        </w:tc>
        <w:tc>
          <w:tcPr>
            <w:tcW w:w="851" w:type="pct"/>
            <w:tcBorders>
              <w:top w:val="single" w:color="auto" w:sz="4" w:space="0"/>
              <w:left w:val="single" w:color="auto" w:sz="4" w:space="0"/>
              <w:bottom w:val="single" w:color="auto" w:sz="4" w:space="0"/>
              <w:right w:val="single" w:color="auto" w:sz="4" w:space="0"/>
            </w:tcBorders>
            <w:vAlign w:val="center"/>
          </w:tcPr>
          <w:p w14:paraId="6F6128C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现状值</w:t>
            </w:r>
          </w:p>
        </w:tc>
        <w:tc>
          <w:tcPr>
            <w:tcW w:w="366" w:type="pct"/>
            <w:tcBorders>
              <w:top w:val="single" w:color="auto" w:sz="4" w:space="0"/>
              <w:left w:val="single" w:color="auto" w:sz="4" w:space="0"/>
              <w:bottom w:val="single" w:color="auto" w:sz="4" w:space="0"/>
              <w:right w:val="single" w:color="auto" w:sz="4" w:space="0"/>
            </w:tcBorders>
            <w:vAlign w:val="center"/>
          </w:tcPr>
          <w:p w14:paraId="51BCCF0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
                <w:color w:val="000000"/>
                <w:sz w:val="21"/>
                <w:szCs w:val="21"/>
                <w:highlight w:val="none"/>
              </w:rPr>
            </w:pPr>
            <w:r>
              <w:rPr>
                <w:rFonts w:hint="eastAsia" w:ascii="Times New Roman" w:hAnsi="Times New Roman"/>
                <w:b/>
                <w:color w:val="000000"/>
                <w:sz w:val="21"/>
                <w:szCs w:val="21"/>
                <w:highlight w:val="none"/>
              </w:rPr>
              <w:t>完成情况</w:t>
            </w:r>
          </w:p>
        </w:tc>
      </w:tr>
      <w:tr w14:paraId="21EC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371" w:type="pct"/>
            <w:vMerge w:val="restart"/>
            <w:tcBorders>
              <w:top w:val="single" w:color="auto" w:sz="4" w:space="0"/>
              <w:left w:val="single" w:color="auto" w:sz="4" w:space="0"/>
              <w:bottom w:val="single" w:color="auto" w:sz="4" w:space="0"/>
              <w:right w:val="single" w:color="auto" w:sz="4" w:space="0"/>
            </w:tcBorders>
            <w:vAlign w:val="center"/>
          </w:tcPr>
          <w:p w14:paraId="42A5A9D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约束性指标</w:t>
            </w: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402B098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环境质量</w:t>
            </w:r>
          </w:p>
        </w:tc>
        <w:tc>
          <w:tcPr>
            <w:tcW w:w="266" w:type="pct"/>
            <w:tcBorders>
              <w:top w:val="single" w:color="auto" w:sz="4" w:space="0"/>
              <w:left w:val="single" w:color="auto" w:sz="4" w:space="0"/>
              <w:bottom w:val="single" w:color="auto" w:sz="4" w:space="0"/>
              <w:right w:val="single" w:color="auto" w:sz="4" w:space="0"/>
            </w:tcBorders>
            <w:vAlign w:val="center"/>
          </w:tcPr>
          <w:p w14:paraId="13FABC1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w:t>
            </w:r>
          </w:p>
        </w:tc>
        <w:tc>
          <w:tcPr>
            <w:tcW w:w="1607" w:type="pct"/>
            <w:tcBorders>
              <w:top w:val="single" w:color="auto" w:sz="4" w:space="0"/>
              <w:left w:val="single" w:color="auto" w:sz="4" w:space="0"/>
              <w:bottom w:val="single" w:color="auto" w:sz="4" w:space="0"/>
              <w:right w:val="single" w:color="auto" w:sz="4" w:space="0"/>
            </w:tcBorders>
            <w:vAlign w:val="center"/>
          </w:tcPr>
          <w:p w14:paraId="0743B84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水环境功能区达标率（%）</w:t>
            </w:r>
          </w:p>
        </w:tc>
        <w:tc>
          <w:tcPr>
            <w:tcW w:w="922" w:type="pct"/>
            <w:tcBorders>
              <w:top w:val="single" w:color="auto" w:sz="4" w:space="0"/>
              <w:left w:val="single" w:color="auto" w:sz="4" w:space="0"/>
              <w:bottom w:val="single" w:color="auto" w:sz="4" w:space="0"/>
              <w:right w:val="single" w:color="auto" w:sz="4" w:space="0"/>
            </w:tcBorders>
            <w:vAlign w:val="center"/>
          </w:tcPr>
          <w:p w14:paraId="6DA9CED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100，且过境河流水质不降低</w:t>
            </w:r>
          </w:p>
        </w:tc>
        <w:tc>
          <w:tcPr>
            <w:tcW w:w="851" w:type="pct"/>
            <w:tcBorders>
              <w:top w:val="single" w:color="auto" w:sz="4" w:space="0"/>
              <w:left w:val="single" w:color="auto" w:sz="4" w:space="0"/>
              <w:bottom w:val="single" w:color="auto" w:sz="4" w:space="0"/>
              <w:right w:val="single" w:color="auto" w:sz="4" w:space="0"/>
            </w:tcBorders>
            <w:vAlign w:val="center"/>
          </w:tcPr>
          <w:p w14:paraId="0294612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554867D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5A62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3A6DE3C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08E9D2B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76FCB5B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w:t>
            </w:r>
          </w:p>
        </w:tc>
        <w:tc>
          <w:tcPr>
            <w:tcW w:w="1607" w:type="pct"/>
            <w:tcBorders>
              <w:top w:val="single" w:color="auto" w:sz="4" w:space="0"/>
              <w:left w:val="single" w:color="auto" w:sz="4" w:space="0"/>
              <w:bottom w:val="single" w:color="auto" w:sz="4" w:space="0"/>
              <w:right w:val="single" w:color="auto" w:sz="4" w:space="0"/>
            </w:tcBorders>
            <w:vAlign w:val="center"/>
          </w:tcPr>
          <w:p w14:paraId="492EC3E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饮用水源地水质达标率（%）</w:t>
            </w:r>
          </w:p>
        </w:tc>
        <w:tc>
          <w:tcPr>
            <w:tcW w:w="922" w:type="pct"/>
            <w:tcBorders>
              <w:top w:val="single" w:color="auto" w:sz="4" w:space="0"/>
              <w:left w:val="single" w:color="auto" w:sz="4" w:space="0"/>
              <w:bottom w:val="single" w:color="auto" w:sz="4" w:space="0"/>
              <w:right w:val="single" w:color="auto" w:sz="4" w:space="0"/>
            </w:tcBorders>
            <w:vAlign w:val="center"/>
          </w:tcPr>
          <w:p w14:paraId="31256A6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6E69951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544C4AD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1AEB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1DE163A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41D663A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2460285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3</w:t>
            </w:r>
          </w:p>
        </w:tc>
        <w:tc>
          <w:tcPr>
            <w:tcW w:w="1607" w:type="pct"/>
            <w:tcBorders>
              <w:top w:val="single" w:color="auto" w:sz="4" w:space="0"/>
              <w:left w:val="single" w:color="auto" w:sz="4" w:space="0"/>
              <w:bottom w:val="single" w:color="auto" w:sz="4" w:space="0"/>
              <w:right w:val="single" w:color="auto" w:sz="4" w:space="0"/>
            </w:tcBorders>
            <w:vAlign w:val="center"/>
          </w:tcPr>
          <w:p w14:paraId="6BB7C8E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空气环境质量</w:t>
            </w:r>
          </w:p>
        </w:tc>
        <w:tc>
          <w:tcPr>
            <w:tcW w:w="922" w:type="pct"/>
            <w:tcBorders>
              <w:top w:val="single" w:color="auto" w:sz="4" w:space="0"/>
              <w:left w:val="single" w:color="auto" w:sz="4" w:space="0"/>
              <w:bottom w:val="single" w:color="auto" w:sz="4" w:space="0"/>
              <w:right w:val="single" w:color="auto" w:sz="4" w:space="0"/>
            </w:tcBorders>
            <w:vAlign w:val="center"/>
          </w:tcPr>
          <w:p w14:paraId="34B8675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自然保护区、森林公园执行一类，其他区域执行二类区标准</w:t>
            </w:r>
          </w:p>
        </w:tc>
        <w:tc>
          <w:tcPr>
            <w:tcW w:w="851" w:type="pct"/>
            <w:tcBorders>
              <w:top w:val="single" w:color="auto" w:sz="4" w:space="0"/>
              <w:left w:val="single" w:color="auto" w:sz="4" w:space="0"/>
              <w:bottom w:val="single" w:color="auto" w:sz="4" w:space="0"/>
              <w:right w:val="single" w:color="auto" w:sz="4" w:space="0"/>
            </w:tcBorders>
            <w:vAlign w:val="center"/>
          </w:tcPr>
          <w:p w14:paraId="69B5FCD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自然保护区、森林公园执行一类，其他区域执行二类区标准</w:t>
            </w:r>
          </w:p>
        </w:tc>
        <w:tc>
          <w:tcPr>
            <w:tcW w:w="366" w:type="pct"/>
            <w:tcBorders>
              <w:top w:val="single" w:color="auto" w:sz="4" w:space="0"/>
              <w:left w:val="single" w:color="auto" w:sz="4" w:space="0"/>
              <w:bottom w:val="single" w:color="auto" w:sz="4" w:space="0"/>
              <w:right w:val="single" w:color="auto" w:sz="4" w:space="0"/>
            </w:tcBorders>
            <w:vAlign w:val="center"/>
          </w:tcPr>
          <w:p w14:paraId="08FAF6B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0BD2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7F6B1CD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46286D5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5457FD5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4</w:t>
            </w:r>
          </w:p>
        </w:tc>
        <w:tc>
          <w:tcPr>
            <w:tcW w:w="1607" w:type="pct"/>
            <w:tcBorders>
              <w:top w:val="single" w:color="auto" w:sz="4" w:space="0"/>
              <w:left w:val="single" w:color="auto" w:sz="4" w:space="0"/>
              <w:bottom w:val="single" w:color="auto" w:sz="4" w:space="0"/>
              <w:right w:val="single" w:color="auto" w:sz="4" w:space="0"/>
            </w:tcBorders>
            <w:vAlign w:val="center"/>
          </w:tcPr>
          <w:p w14:paraId="27C23D3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声环境质量</w:t>
            </w:r>
          </w:p>
        </w:tc>
        <w:tc>
          <w:tcPr>
            <w:tcW w:w="922" w:type="pct"/>
            <w:tcBorders>
              <w:top w:val="single" w:color="auto" w:sz="4" w:space="0"/>
              <w:left w:val="single" w:color="auto" w:sz="4" w:space="0"/>
              <w:bottom w:val="single" w:color="auto" w:sz="4" w:space="0"/>
              <w:right w:val="single" w:color="auto" w:sz="4" w:space="0"/>
            </w:tcBorders>
            <w:vAlign w:val="center"/>
          </w:tcPr>
          <w:p w14:paraId="33D89F0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各类功能区标准</w:t>
            </w:r>
          </w:p>
        </w:tc>
        <w:tc>
          <w:tcPr>
            <w:tcW w:w="851" w:type="pct"/>
            <w:tcBorders>
              <w:top w:val="single" w:color="auto" w:sz="4" w:space="0"/>
              <w:left w:val="single" w:color="auto" w:sz="4" w:space="0"/>
              <w:bottom w:val="single" w:color="auto" w:sz="4" w:space="0"/>
              <w:right w:val="single" w:color="auto" w:sz="4" w:space="0"/>
            </w:tcBorders>
            <w:vAlign w:val="center"/>
          </w:tcPr>
          <w:p w14:paraId="3BE23AE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各类功能区标准</w:t>
            </w:r>
          </w:p>
        </w:tc>
        <w:tc>
          <w:tcPr>
            <w:tcW w:w="366" w:type="pct"/>
            <w:tcBorders>
              <w:top w:val="single" w:color="auto" w:sz="4" w:space="0"/>
              <w:left w:val="single" w:color="auto" w:sz="4" w:space="0"/>
              <w:bottom w:val="single" w:color="auto" w:sz="4" w:space="0"/>
              <w:right w:val="single" w:color="auto" w:sz="4" w:space="0"/>
            </w:tcBorders>
            <w:vAlign w:val="center"/>
          </w:tcPr>
          <w:p w14:paraId="6BF2162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3098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7DD77D6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7E814E7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总量控制</w:t>
            </w:r>
          </w:p>
        </w:tc>
        <w:tc>
          <w:tcPr>
            <w:tcW w:w="266" w:type="pct"/>
            <w:tcBorders>
              <w:top w:val="single" w:color="auto" w:sz="4" w:space="0"/>
              <w:left w:val="single" w:color="auto" w:sz="4" w:space="0"/>
              <w:bottom w:val="single" w:color="auto" w:sz="4" w:space="0"/>
              <w:right w:val="single" w:color="auto" w:sz="4" w:space="0"/>
            </w:tcBorders>
            <w:vAlign w:val="center"/>
          </w:tcPr>
          <w:p w14:paraId="696B7ED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5</w:t>
            </w:r>
          </w:p>
        </w:tc>
        <w:tc>
          <w:tcPr>
            <w:tcW w:w="1607" w:type="pct"/>
            <w:vMerge w:val="restart"/>
            <w:tcBorders>
              <w:top w:val="single" w:color="auto" w:sz="4" w:space="0"/>
              <w:left w:val="single" w:color="auto" w:sz="4" w:space="0"/>
              <w:right w:val="single" w:color="auto" w:sz="4" w:space="0"/>
            </w:tcBorders>
            <w:vAlign w:val="center"/>
          </w:tcPr>
          <w:p w14:paraId="4449590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国家“十三五”总量控制指标</w:t>
            </w:r>
          </w:p>
          <w:p w14:paraId="21EDE67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国家“十三五”重金属总量控制指标</w:t>
            </w:r>
          </w:p>
        </w:tc>
        <w:tc>
          <w:tcPr>
            <w:tcW w:w="922" w:type="pct"/>
            <w:vMerge w:val="restart"/>
            <w:tcBorders>
              <w:top w:val="single" w:color="auto" w:sz="4" w:space="0"/>
              <w:left w:val="single" w:color="auto" w:sz="4" w:space="0"/>
              <w:bottom w:val="single" w:color="auto" w:sz="4" w:space="0"/>
              <w:right w:val="single" w:color="auto" w:sz="4" w:space="0"/>
            </w:tcBorders>
            <w:vAlign w:val="center"/>
          </w:tcPr>
          <w:p w14:paraId="4B25938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完成安徽省下达任务</w:t>
            </w:r>
          </w:p>
        </w:tc>
        <w:tc>
          <w:tcPr>
            <w:tcW w:w="851" w:type="pct"/>
            <w:tcBorders>
              <w:top w:val="single" w:color="auto" w:sz="4" w:space="0"/>
              <w:left w:val="single" w:color="auto" w:sz="4" w:space="0"/>
              <w:bottom w:val="single" w:color="auto" w:sz="4" w:space="0"/>
              <w:right w:val="single" w:color="auto" w:sz="4" w:space="0"/>
            </w:tcBorders>
            <w:vAlign w:val="center"/>
          </w:tcPr>
          <w:p w14:paraId="3FF7788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color w:val="000000"/>
                <w:sz w:val="21"/>
                <w:szCs w:val="21"/>
                <w:highlight w:val="none"/>
              </w:rPr>
              <w:t>完成安徽省下达任务</w:t>
            </w:r>
          </w:p>
        </w:tc>
        <w:tc>
          <w:tcPr>
            <w:tcW w:w="366" w:type="pct"/>
            <w:tcBorders>
              <w:top w:val="single" w:color="auto" w:sz="4" w:space="0"/>
              <w:left w:val="single" w:color="auto" w:sz="4" w:space="0"/>
              <w:bottom w:val="single" w:color="auto" w:sz="4" w:space="0"/>
              <w:right w:val="single" w:color="auto" w:sz="4" w:space="0"/>
            </w:tcBorders>
            <w:vAlign w:val="center"/>
          </w:tcPr>
          <w:p w14:paraId="3140A8C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3214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46BD97E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2936F07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重金属减排</w:t>
            </w:r>
          </w:p>
        </w:tc>
        <w:tc>
          <w:tcPr>
            <w:tcW w:w="266" w:type="pct"/>
            <w:tcBorders>
              <w:top w:val="single" w:color="auto" w:sz="4" w:space="0"/>
              <w:left w:val="single" w:color="auto" w:sz="4" w:space="0"/>
              <w:bottom w:val="single" w:color="auto" w:sz="4" w:space="0"/>
              <w:right w:val="single" w:color="auto" w:sz="4" w:space="0"/>
            </w:tcBorders>
            <w:vAlign w:val="center"/>
          </w:tcPr>
          <w:p w14:paraId="0651342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6</w:t>
            </w:r>
          </w:p>
        </w:tc>
        <w:tc>
          <w:tcPr>
            <w:tcW w:w="1607" w:type="pct"/>
            <w:vMerge w:val="continue"/>
            <w:tcBorders>
              <w:left w:val="single" w:color="auto" w:sz="4" w:space="0"/>
              <w:bottom w:val="single" w:color="auto" w:sz="4" w:space="0"/>
              <w:right w:val="single" w:color="auto" w:sz="4" w:space="0"/>
            </w:tcBorders>
            <w:vAlign w:val="center"/>
          </w:tcPr>
          <w:p w14:paraId="3C08870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922" w:type="pct"/>
            <w:vMerge w:val="continue"/>
            <w:tcBorders>
              <w:top w:val="single" w:color="auto" w:sz="4" w:space="0"/>
              <w:left w:val="single" w:color="auto" w:sz="4" w:space="0"/>
              <w:bottom w:val="single" w:color="auto" w:sz="4" w:space="0"/>
              <w:right w:val="single" w:color="auto" w:sz="4" w:space="0"/>
            </w:tcBorders>
            <w:vAlign w:val="center"/>
          </w:tcPr>
          <w:p w14:paraId="470CF47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851" w:type="pct"/>
            <w:tcBorders>
              <w:top w:val="single" w:color="auto" w:sz="4" w:space="0"/>
              <w:left w:val="single" w:color="auto" w:sz="4" w:space="0"/>
              <w:bottom w:val="single" w:color="auto" w:sz="4" w:space="0"/>
              <w:right w:val="single" w:color="auto" w:sz="4" w:space="0"/>
            </w:tcBorders>
            <w:vAlign w:val="center"/>
          </w:tcPr>
          <w:p w14:paraId="76BDA50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color w:val="000000"/>
                <w:sz w:val="21"/>
                <w:szCs w:val="21"/>
                <w:highlight w:val="none"/>
              </w:rPr>
              <w:t>完成安徽省下达任务</w:t>
            </w:r>
          </w:p>
        </w:tc>
        <w:tc>
          <w:tcPr>
            <w:tcW w:w="366" w:type="pct"/>
            <w:tcBorders>
              <w:top w:val="single" w:color="auto" w:sz="4" w:space="0"/>
              <w:left w:val="single" w:color="auto" w:sz="4" w:space="0"/>
              <w:bottom w:val="single" w:color="auto" w:sz="4" w:space="0"/>
              <w:right w:val="single" w:color="auto" w:sz="4" w:space="0"/>
            </w:tcBorders>
            <w:vAlign w:val="center"/>
          </w:tcPr>
          <w:p w14:paraId="276FCA9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3785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66C0BD6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3645D70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污染控制指标</w:t>
            </w:r>
          </w:p>
        </w:tc>
        <w:tc>
          <w:tcPr>
            <w:tcW w:w="266" w:type="pct"/>
            <w:tcBorders>
              <w:top w:val="single" w:color="auto" w:sz="4" w:space="0"/>
              <w:left w:val="single" w:color="auto" w:sz="4" w:space="0"/>
              <w:bottom w:val="single" w:color="auto" w:sz="4" w:space="0"/>
              <w:right w:val="single" w:color="auto" w:sz="4" w:space="0"/>
            </w:tcBorders>
            <w:vAlign w:val="center"/>
          </w:tcPr>
          <w:p w14:paraId="25A728C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7</w:t>
            </w:r>
          </w:p>
        </w:tc>
        <w:tc>
          <w:tcPr>
            <w:tcW w:w="1607" w:type="pct"/>
            <w:tcBorders>
              <w:top w:val="single" w:color="auto" w:sz="4" w:space="0"/>
              <w:left w:val="single" w:color="auto" w:sz="4" w:space="0"/>
              <w:bottom w:val="single" w:color="auto" w:sz="4" w:space="0"/>
              <w:right w:val="single" w:color="auto" w:sz="4" w:space="0"/>
            </w:tcBorders>
            <w:vAlign w:val="center"/>
          </w:tcPr>
          <w:p w14:paraId="4B39844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城镇生活污水处理率（%）</w:t>
            </w:r>
          </w:p>
        </w:tc>
        <w:tc>
          <w:tcPr>
            <w:tcW w:w="922" w:type="pct"/>
            <w:tcBorders>
              <w:top w:val="single" w:color="auto" w:sz="4" w:space="0"/>
              <w:left w:val="single" w:color="auto" w:sz="4" w:space="0"/>
              <w:bottom w:val="single" w:color="auto" w:sz="4" w:space="0"/>
              <w:right w:val="single" w:color="auto" w:sz="4" w:space="0"/>
            </w:tcBorders>
            <w:vAlign w:val="center"/>
          </w:tcPr>
          <w:p w14:paraId="70289B6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85</w:t>
            </w:r>
          </w:p>
        </w:tc>
        <w:tc>
          <w:tcPr>
            <w:tcW w:w="851" w:type="pct"/>
            <w:tcBorders>
              <w:top w:val="single" w:color="auto" w:sz="4" w:space="0"/>
              <w:left w:val="single" w:color="auto" w:sz="4" w:space="0"/>
              <w:bottom w:val="single" w:color="auto" w:sz="4" w:space="0"/>
              <w:right w:val="single" w:color="auto" w:sz="4" w:space="0"/>
            </w:tcBorders>
            <w:vAlign w:val="center"/>
          </w:tcPr>
          <w:p w14:paraId="55B1438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95</w:t>
            </w:r>
          </w:p>
        </w:tc>
        <w:tc>
          <w:tcPr>
            <w:tcW w:w="366" w:type="pct"/>
            <w:tcBorders>
              <w:top w:val="single" w:color="auto" w:sz="4" w:space="0"/>
              <w:left w:val="single" w:color="auto" w:sz="4" w:space="0"/>
              <w:bottom w:val="single" w:color="auto" w:sz="4" w:space="0"/>
              <w:right w:val="single" w:color="auto" w:sz="4" w:space="0"/>
            </w:tcBorders>
            <w:vAlign w:val="center"/>
          </w:tcPr>
          <w:p w14:paraId="09B9506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1C7E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53D1715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2FBCF61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21EAE1E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8</w:t>
            </w:r>
          </w:p>
        </w:tc>
        <w:tc>
          <w:tcPr>
            <w:tcW w:w="1607" w:type="pct"/>
            <w:tcBorders>
              <w:top w:val="single" w:color="auto" w:sz="4" w:space="0"/>
              <w:left w:val="single" w:color="auto" w:sz="4" w:space="0"/>
              <w:bottom w:val="single" w:color="auto" w:sz="4" w:space="0"/>
              <w:right w:val="single" w:color="auto" w:sz="4" w:space="0"/>
            </w:tcBorders>
            <w:vAlign w:val="center"/>
          </w:tcPr>
          <w:p w14:paraId="6176052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工业废水排放达标率（%）</w:t>
            </w:r>
          </w:p>
        </w:tc>
        <w:tc>
          <w:tcPr>
            <w:tcW w:w="922" w:type="pct"/>
            <w:tcBorders>
              <w:top w:val="single" w:color="auto" w:sz="4" w:space="0"/>
              <w:left w:val="single" w:color="auto" w:sz="4" w:space="0"/>
              <w:bottom w:val="single" w:color="auto" w:sz="4" w:space="0"/>
              <w:right w:val="single" w:color="auto" w:sz="4" w:space="0"/>
            </w:tcBorders>
            <w:vAlign w:val="center"/>
          </w:tcPr>
          <w:p w14:paraId="4EBDDF5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643B987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w:t>
            </w:r>
            <w:r>
              <w:rPr>
                <w:rFonts w:ascii="Times New Roman" w:hAnsi="Times New Roman"/>
                <w:bCs/>
                <w:color w:val="000000"/>
                <w:sz w:val="21"/>
                <w:szCs w:val="21"/>
                <w:highlight w:val="none"/>
              </w:rPr>
              <w:t>00</w:t>
            </w:r>
          </w:p>
        </w:tc>
        <w:tc>
          <w:tcPr>
            <w:tcW w:w="366" w:type="pct"/>
            <w:tcBorders>
              <w:top w:val="single" w:color="auto" w:sz="4" w:space="0"/>
              <w:left w:val="single" w:color="auto" w:sz="4" w:space="0"/>
              <w:bottom w:val="single" w:color="auto" w:sz="4" w:space="0"/>
              <w:right w:val="single" w:color="auto" w:sz="4" w:space="0"/>
            </w:tcBorders>
            <w:vAlign w:val="center"/>
          </w:tcPr>
          <w:p w14:paraId="421F1F8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303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2EC3307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434CA26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1F5B0B1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9</w:t>
            </w:r>
          </w:p>
        </w:tc>
        <w:tc>
          <w:tcPr>
            <w:tcW w:w="1607" w:type="pct"/>
            <w:tcBorders>
              <w:top w:val="single" w:color="auto" w:sz="4" w:space="0"/>
              <w:left w:val="single" w:color="auto" w:sz="4" w:space="0"/>
              <w:bottom w:val="single" w:color="auto" w:sz="4" w:space="0"/>
              <w:right w:val="single" w:color="auto" w:sz="4" w:space="0"/>
            </w:tcBorders>
            <w:vAlign w:val="center"/>
          </w:tcPr>
          <w:p w14:paraId="001F03C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全县生活垃圾无害化处理率（%）</w:t>
            </w:r>
          </w:p>
        </w:tc>
        <w:tc>
          <w:tcPr>
            <w:tcW w:w="922" w:type="pct"/>
            <w:tcBorders>
              <w:top w:val="single" w:color="auto" w:sz="4" w:space="0"/>
              <w:left w:val="single" w:color="auto" w:sz="4" w:space="0"/>
              <w:bottom w:val="single" w:color="auto" w:sz="4" w:space="0"/>
              <w:right w:val="single" w:color="auto" w:sz="4" w:space="0"/>
            </w:tcBorders>
            <w:vAlign w:val="center"/>
          </w:tcPr>
          <w:p w14:paraId="1CDA934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95</w:t>
            </w:r>
          </w:p>
        </w:tc>
        <w:tc>
          <w:tcPr>
            <w:tcW w:w="851" w:type="pct"/>
            <w:tcBorders>
              <w:top w:val="single" w:color="auto" w:sz="4" w:space="0"/>
              <w:left w:val="single" w:color="auto" w:sz="4" w:space="0"/>
              <w:bottom w:val="single" w:color="auto" w:sz="4" w:space="0"/>
              <w:right w:val="single" w:color="auto" w:sz="4" w:space="0"/>
            </w:tcBorders>
            <w:vAlign w:val="center"/>
          </w:tcPr>
          <w:p w14:paraId="37A0F59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99.2</w:t>
            </w:r>
          </w:p>
        </w:tc>
        <w:tc>
          <w:tcPr>
            <w:tcW w:w="366" w:type="pct"/>
            <w:tcBorders>
              <w:top w:val="single" w:color="auto" w:sz="4" w:space="0"/>
              <w:left w:val="single" w:color="auto" w:sz="4" w:space="0"/>
              <w:bottom w:val="single" w:color="auto" w:sz="4" w:space="0"/>
              <w:right w:val="single" w:color="auto" w:sz="4" w:space="0"/>
            </w:tcBorders>
            <w:vAlign w:val="center"/>
          </w:tcPr>
          <w:p w14:paraId="0337A8B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sz w:val="21"/>
                <w:szCs w:val="21"/>
                <w:highlight w:val="none"/>
              </w:rPr>
              <w:t>√</w:t>
            </w:r>
          </w:p>
        </w:tc>
      </w:tr>
      <w:tr w14:paraId="4320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7A81CBD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19BF88A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6EF870D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w:t>
            </w:r>
          </w:p>
        </w:tc>
        <w:tc>
          <w:tcPr>
            <w:tcW w:w="1607" w:type="pct"/>
            <w:tcBorders>
              <w:top w:val="single" w:color="auto" w:sz="4" w:space="0"/>
              <w:left w:val="single" w:color="auto" w:sz="4" w:space="0"/>
              <w:bottom w:val="single" w:color="auto" w:sz="4" w:space="0"/>
              <w:right w:val="single" w:color="auto" w:sz="4" w:space="0"/>
            </w:tcBorders>
            <w:vAlign w:val="center"/>
          </w:tcPr>
          <w:p w14:paraId="7C2CA88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规模化畜禽养殖场废弃物</w:t>
            </w:r>
            <w:r>
              <w:rPr>
                <w:rFonts w:ascii="Times New Roman" w:hAnsi="Times New Roman"/>
                <w:bCs/>
                <w:color w:val="000000"/>
                <w:sz w:val="21"/>
                <w:szCs w:val="21"/>
                <w:highlight w:val="none"/>
              </w:rPr>
              <w:t>综合利用率（%）</w:t>
            </w:r>
          </w:p>
        </w:tc>
        <w:tc>
          <w:tcPr>
            <w:tcW w:w="922" w:type="pct"/>
            <w:tcBorders>
              <w:top w:val="single" w:color="auto" w:sz="4" w:space="0"/>
              <w:left w:val="single" w:color="auto" w:sz="4" w:space="0"/>
              <w:bottom w:val="single" w:color="auto" w:sz="4" w:space="0"/>
              <w:right w:val="single" w:color="auto" w:sz="4" w:space="0"/>
            </w:tcBorders>
            <w:vAlign w:val="center"/>
          </w:tcPr>
          <w:p w14:paraId="70E759B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90</w:t>
            </w:r>
          </w:p>
        </w:tc>
        <w:tc>
          <w:tcPr>
            <w:tcW w:w="851" w:type="pct"/>
            <w:tcBorders>
              <w:top w:val="single" w:color="auto" w:sz="4" w:space="0"/>
              <w:left w:val="single" w:color="auto" w:sz="4" w:space="0"/>
              <w:bottom w:val="single" w:color="auto" w:sz="4" w:space="0"/>
              <w:right w:val="single" w:color="auto" w:sz="4" w:space="0"/>
            </w:tcBorders>
            <w:vAlign w:val="center"/>
          </w:tcPr>
          <w:p w14:paraId="4FE5218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95</w:t>
            </w:r>
          </w:p>
        </w:tc>
        <w:tc>
          <w:tcPr>
            <w:tcW w:w="366" w:type="pct"/>
            <w:tcBorders>
              <w:top w:val="single" w:color="auto" w:sz="4" w:space="0"/>
              <w:left w:val="single" w:color="auto" w:sz="4" w:space="0"/>
              <w:bottom w:val="single" w:color="auto" w:sz="4" w:space="0"/>
              <w:right w:val="single" w:color="auto" w:sz="4" w:space="0"/>
            </w:tcBorders>
            <w:vAlign w:val="center"/>
          </w:tcPr>
          <w:p w14:paraId="7E06535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3AC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restart"/>
            <w:tcBorders>
              <w:top w:val="single" w:color="auto" w:sz="4" w:space="0"/>
              <w:left w:val="single" w:color="auto" w:sz="4" w:space="0"/>
              <w:bottom w:val="single" w:color="auto" w:sz="4" w:space="0"/>
              <w:right w:val="single" w:color="auto" w:sz="4" w:space="0"/>
            </w:tcBorders>
            <w:vAlign w:val="center"/>
          </w:tcPr>
          <w:p w14:paraId="4002818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预期性指标</w:t>
            </w: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0A1E7CF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水环境</w:t>
            </w:r>
          </w:p>
        </w:tc>
        <w:tc>
          <w:tcPr>
            <w:tcW w:w="266" w:type="pct"/>
            <w:tcBorders>
              <w:top w:val="single" w:color="auto" w:sz="4" w:space="0"/>
              <w:left w:val="single" w:color="auto" w:sz="4" w:space="0"/>
              <w:bottom w:val="single" w:color="auto" w:sz="4" w:space="0"/>
              <w:right w:val="single" w:color="auto" w:sz="4" w:space="0"/>
            </w:tcBorders>
            <w:vAlign w:val="center"/>
          </w:tcPr>
          <w:p w14:paraId="513828F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11</w:t>
            </w:r>
          </w:p>
        </w:tc>
        <w:tc>
          <w:tcPr>
            <w:tcW w:w="1607" w:type="pct"/>
            <w:tcBorders>
              <w:top w:val="single" w:color="auto" w:sz="4" w:space="0"/>
              <w:left w:val="single" w:color="auto" w:sz="4" w:space="0"/>
              <w:bottom w:val="single" w:color="auto" w:sz="4" w:space="0"/>
              <w:right w:val="single" w:color="auto" w:sz="4" w:space="0"/>
            </w:tcBorders>
            <w:vAlign w:val="center"/>
          </w:tcPr>
          <w:p w14:paraId="64AE864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劣V类水质断面比例（％）</w:t>
            </w:r>
          </w:p>
        </w:tc>
        <w:tc>
          <w:tcPr>
            <w:tcW w:w="922" w:type="pct"/>
            <w:tcBorders>
              <w:top w:val="single" w:color="auto" w:sz="4" w:space="0"/>
              <w:left w:val="single" w:color="auto" w:sz="4" w:space="0"/>
              <w:bottom w:val="single" w:color="auto" w:sz="4" w:space="0"/>
              <w:right w:val="single" w:color="auto" w:sz="4" w:space="0"/>
            </w:tcBorders>
            <w:vAlign w:val="center"/>
          </w:tcPr>
          <w:p w14:paraId="410DD04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力争消除</w:t>
            </w:r>
          </w:p>
        </w:tc>
        <w:tc>
          <w:tcPr>
            <w:tcW w:w="851" w:type="pct"/>
            <w:tcBorders>
              <w:top w:val="single" w:color="auto" w:sz="4" w:space="0"/>
              <w:left w:val="single" w:color="auto" w:sz="4" w:space="0"/>
              <w:bottom w:val="single" w:color="auto" w:sz="4" w:space="0"/>
              <w:right w:val="single" w:color="auto" w:sz="4" w:space="0"/>
            </w:tcBorders>
            <w:vAlign w:val="center"/>
          </w:tcPr>
          <w:p w14:paraId="7F7885B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w:t>
            </w:r>
          </w:p>
        </w:tc>
        <w:tc>
          <w:tcPr>
            <w:tcW w:w="366" w:type="pct"/>
            <w:tcBorders>
              <w:top w:val="single" w:color="auto" w:sz="4" w:space="0"/>
              <w:left w:val="single" w:color="auto" w:sz="4" w:space="0"/>
              <w:bottom w:val="single" w:color="auto" w:sz="4" w:space="0"/>
              <w:right w:val="single" w:color="auto" w:sz="4" w:space="0"/>
            </w:tcBorders>
            <w:vAlign w:val="center"/>
          </w:tcPr>
          <w:p w14:paraId="2C6BD17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130C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2A5FD8D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61F3327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2C7E0DE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12</w:t>
            </w:r>
          </w:p>
        </w:tc>
        <w:tc>
          <w:tcPr>
            <w:tcW w:w="1607" w:type="pct"/>
            <w:tcBorders>
              <w:top w:val="single" w:color="auto" w:sz="4" w:space="0"/>
              <w:left w:val="single" w:color="auto" w:sz="4" w:space="0"/>
              <w:bottom w:val="single" w:color="auto" w:sz="4" w:space="0"/>
              <w:right w:val="single" w:color="auto" w:sz="4" w:space="0"/>
            </w:tcBorders>
            <w:vAlign w:val="center"/>
          </w:tcPr>
          <w:p w14:paraId="0354CC9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黑臭水体控制比例（％）</w:t>
            </w:r>
          </w:p>
        </w:tc>
        <w:tc>
          <w:tcPr>
            <w:tcW w:w="922" w:type="pct"/>
            <w:tcBorders>
              <w:top w:val="single" w:color="auto" w:sz="4" w:space="0"/>
              <w:left w:val="single" w:color="auto" w:sz="4" w:space="0"/>
              <w:bottom w:val="single" w:color="auto" w:sz="4" w:space="0"/>
              <w:right w:val="single" w:color="auto" w:sz="4" w:space="0"/>
            </w:tcBorders>
            <w:vAlign w:val="center"/>
          </w:tcPr>
          <w:p w14:paraId="3E7E314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w:t>
            </w:r>
          </w:p>
        </w:tc>
        <w:tc>
          <w:tcPr>
            <w:tcW w:w="851" w:type="pct"/>
            <w:tcBorders>
              <w:top w:val="single" w:color="auto" w:sz="4" w:space="0"/>
              <w:left w:val="single" w:color="auto" w:sz="4" w:space="0"/>
              <w:bottom w:val="single" w:color="auto" w:sz="4" w:space="0"/>
              <w:right w:val="single" w:color="auto" w:sz="4" w:space="0"/>
            </w:tcBorders>
            <w:vAlign w:val="center"/>
          </w:tcPr>
          <w:p w14:paraId="6FD62B8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60</w:t>
            </w:r>
          </w:p>
        </w:tc>
        <w:tc>
          <w:tcPr>
            <w:tcW w:w="366" w:type="pct"/>
            <w:tcBorders>
              <w:top w:val="single" w:color="auto" w:sz="4" w:space="0"/>
              <w:left w:val="single" w:color="auto" w:sz="4" w:space="0"/>
              <w:bottom w:val="single" w:color="auto" w:sz="4" w:space="0"/>
              <w:right w:val="single" w:color="auto" w:sz="4" w:space="0"/>
            </w:tcBorders>
            <w:vAlign w:val="center"/>
          </w:tcPr>
          <w:p w14:paraId="41F4892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72D5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18F46C6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vAlign w:val="center"/>
          </w:tcPr>
          <w:p w14:paraId="0F1CFA9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大气环境</w:t>
            </w:r>
          </w:p>
        </w:tc>
        <w:tc>
          <w:tcPr>
            <w:tcW w:w="266" w:type="pct"/>
            <w:tcBorders>
              <w:top w:val="single" w:color="auto" w:sz="4" w:space="0"/>
              <w:left w:val="single" w:color="auto" w:sz="4" w:space="0"/>
              <w:bottom w:val="single" w:color="auto" w:sz="4" w:space="0"/>
              <w:right w:val="single" w:color="auto" w:sz="4" w:space="0"/>
            </w:tcBorders>
            <w:vAlign w:val="center"/>
          </w:tcPr>
          <w:p w14:paraId="2640537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13</w:t>
            </w:r>
          </w:p>
        </w:tc>
        <w:tc>
          <w:tcPr>
            <w:tcW w:w="1607" w:type="pct"/>
            <w:tcBorders>
              <w:top w:val="single" w:color="auto" w:sz="4" w:space="0"/>
              <w:left w:val="single" w:color="auto" w:sz="4" w:space="0"/>
              <w:bottom w:val="single" w:color="auto" w:sz="4" w:space="0"/>
              <w:right w:val="single" w:color="auto" w:sz="4" w:space="0"/>
            </w:tcBorders>
            <w:vAlign w:val="center"/>
          </w:tcPr>
          <w:p w14:paraId="2D2D15C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城市日空气质量达到优的天数</w:t>
            </w:r>
          </w:p>
        </w:tc>
        <w:tc>
          <w:tcPr>
            <w:tcW w:w="922" w:type="pct"/>
            <w:tcBorders>
              <w:top w:val="single" w:color="auto" w:sz="4" w:space="0"/>
              <w:left w:val="single" w:color="auto" w:sz="4" w:space="0"/>
              <w:bottom w:val="single" w:color="auto" w:sz="4" w:space="0"/>
              <w:right w:val="single" w:color="auto" w:sz="4" w:space="0"/>
            </w:tcBorders>
            <w:vAlign w:val="center"/>
          </w:tcPr>
          <w:p w14:paraId="1D9A19D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逐年提高</w:t>
            </w:r>
          </w:p>
        </w:tc>
        <w:tc>
          <w:tcPr>
            <w:tcW w:w="851" w:type="pct"/>
            <w:tcBorders>
              <w:top w:val="single" w:color="auto" w:sz="4" w:space="0"/>
              <w:left w:val="single" w:color="auto" w:sz="4" w:space="0"/>
              <w:bottom w:val="single" w:color="auto" w:sz="4" w:space="0"/>
              <w:right w:val="single" w:color="auto" w:sz="4" w:space="0"/>
            </w:tcBorders>
            <w:vAlign w:val="center"/>
          </w:tcPr>
          <w:p w14:paraId="7BC1645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逐年提高</w:t>
            </w:r>
          </w:p>
        </w:tc>
        <w:tc>
          <w:tcPr>
            <w:tcW w:w="366" w:type="pct"/>
            <w:tcBorders>
              <w:top w:val="single" w:color="auto" w:sz="4" w:space="0"/>
              <w:left w:val="single" w:color="auto" w:sz="4" w:space="0"/>
              <w:bottom w:val="single" w:color="auto" w:sz="4" w:space="0"/>
              <w:right w:val="single" w:color="auto" w:sz="4" w:space="0"/>
            </w:tcBorders>
            <w:vAlign w:val="center"/>
          </w:tcPr>
          <w:p w14:paraId="5A4E795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2344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371" w:type="pct"/>
            <w:vMerge w:val="restart"/>
            <w:tcBorders>
              <w:top w:val="single" w:color="auto" w:sz="4" w:space="0"/>
              <w:left w:val="single" w:color="auto" w:sz="4" w:space="0"/>
              <w:bottom w:val="single" w:color="auto" w:sz="4" w:space="0"/>
              <w:right w:val="single" w:color="auto" w:sz="4" w:space="0"/>
            </w:tcBorders>
            <w:vAlign w:val="center"/>
          </w:tcPr>
          <w:p w14:paraId="0936D75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引导性指标</w:t>
            </w: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445EAAA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生态环境</w:t>
            </w:r>
          </w:p>
        </w:tc>
        <w:tc>
          <w:tcPr>
            <w:tcW w:w="266" w:type="pct"/>
            <w:tcBorders>
              <w:top w:val="single" w:color="auto" w:sz="4" w:space="0"/>
              <w:left w:val="single" w:color="auto" w:sz="4" w:space="0"/>
              <w:bottom w:val="single" w:color="auto" w:sz="4" w:space="0"/>
              <w:right w:val="single" w:color="auto" w:sz="4" w:space="0"/>
            </w:tcBorders>
            <w:vAlign w:val="center"/>
          </w:tcPr>
          <w:p w14:paraId="4D06301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14</w:t>
            </w:r>
          </w:p>
        </w:tc>
        <w:tc>
          <w:tcPr>
            <w:tcW w:w="1607" w:type="pct"/>
            <w:tcBorders>
              <w:top w:val="single" w:color="auto" w:sz="4" w:space="0"/>
              <w:left w:val="single" w:color="auto" w:sz="4" w:space="0"/>
              <w:bottom w:val="single" w:color="auto" w:sz="4" w:space="0"/>
              <w:right w:val="single" w:color="auto" w:sz="4" w:space="0"/>
            </w:tcBorders>
            <w:vAlign w:val="center"/>
          </w:tcPr>
          <w:p w14:paraId="485F81D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受保护地区占国土面积比例（%）</w:t>
            </w:r>
          </w:p>
        </w:tc>
        <w:tc>
          <w:tcPr>
            <w:tcW w:w="922" w:type="pct"/>
            <w:tcBorders>
              <w:top w:val="single" w:color="auto" w:sz="4" w:space="0"/>
              <w:left w:val="single" w:color="auto" w:sz="4" w:space="0"/>
              <w:bottom w:val="single" w:color="auto" w:sz="4" w:space="0"/>
              <w:right w:val="single" w:color="auto" w:sz="4" w:space="0"/>
            </w:tcBorders>
            <w:vAlign w:val="center"/>
          </w:tcPr>
          <w:p w14:paraId="06F90D8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不降低</w:t>
            </w:r>
          </w:p>
        </w:tc>
        <w:tc>
          <w:tcPr>
            <w:tcW w:w="851" w:type="pct"/>
            <w:tcBorders>
              <w:top w:val="single" w:color="auto" w:sz="4" w:space="0"/>
              <w:left w:val="single" w:color="auto" w:sz="4" w:space="0"/>
              <w:bottom w:val="single" w:color="auto" w:sz="4" w:space="0"/>
              <w:right w:val="single" w:color="auto" w:sz="4" w:space="0"/>
            </w:tcBorders>
          </w:tcPr>
          <w:p w14:paraId="7AACFC7C">
            <w:pPr>
              <w:pStyle w:val="24"/>
              <w:suppressAutoHyphens/>
              <w:kinsoku w:val="0"/>
              <w:overflowPunct w:val="0"/>
              <w:autoSpaceDE w:val="0"/>
              <w:autoSpaceDN w:val="0"/>
              <w:snapToGrid w:val="0"/>
              <w:spacing w:before="0" w:line="240" w:lineRule="auto"/>
              <w:ind w:firstLine="0" w:firstLineChars="0"/>
              <w:jc w:val="center"/>
              <w:rPr>
                <w:rFonts w:hint="eastAsia" w:ascii="Times New Roman" w:hAnsi="Times New Roman"/>
                <w:bCs/>
                <w:color w:val="000000"/>
                <w:sz w:val="21"/>
                <w:szCs w:val="21"/>
                <w:highlight w:val="none"/>
                <w:lang w:val="en-US" w:eastAsia="zh-CN"/>
              </w:rPr>
            </w:pPr>
            <w:r>
              <w:rPr>
                <w:rFonts w:hint="eastAsia" w:ascii="Times New Roman" w:hAnsi="Times New Roman"/>
                <w:bCs/>
                <w:color w:val="000000"/>
                <w:sz w:val="21"/>
                <w:szCs w:val="21"/>
                <w:highlight w:val="none"/>
                <w:lang w:val="en-US" w:eastAsia="zh-CN"/>
              </w:rPr>
              <w:t>不降低</w:t>
            </w:r>
          </w:p>
        </w:tc>
        <w:tc>
          <w:tcPr>
            <w:tcW w:w="366" w:type="pct"/>
            <w:tcBorders>
              <w:top w:val="single" w:color="auto" w:sz="4" w:space="0"/>
              <w:left w:val="single" w:color="auto" w:sz="4" w:space="0"/>
              <w:bottom w:val="single" w:color="auto" w:sz="4" w:space="0"/>
              <w:right w:val="single" w:color="auto" w:sz="4" w:space="0"/>
            </w:tcBorders>
            <w:vAlign w:val="center"/>
          </w:tcPr>
          <w:p w14:paraId="3C8A9C5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41D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28122F2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6FB6554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715D1B0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15</w:t>
            </w:r>
          </w:p>
        </w:tc>
        <w:tc>
          <w:tcPr>
            <w:tcW w:w="1607" w:type="pct"/>
            <w:tcBorders>
              <w:top w:val="single" w:color="auto" w:sz="4" w:space="0"/>
              <w:left w:val="single" w:color="auto" w:sz="4" w:space="0"/>
              <w:bottom w:val="single" w:color="auto" w:sz="4" w:space="0"/>
              <w:right w:val="single" w:color="auto" w:sz="4" w:space="0"/>
            </w:tcBorders>
            <w:vAlign w:val="center"/>
          </w:tcPr>
          <w:p w14:paraId="6445FFE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生态保护红线区占国土面积比例（%）</w:t>
            </w:r>
          </w:p>
        </w:tc>
        <w:tc>
          <w:tcPr>
            <w:tcW w:w="922" w:type="pct"/>
            <w:tcBorders>
              <w:top w:val="single" w:color="auto" w:sz="4" w:space="0"/>
              <w:left w:val="single" w:color="auto" w:sz="4" w:space="0"/>
              <w:bottom w:val="single" w:color="auto" w:sz="4" w:space="0"/>
              <w:right w:val="single" w:color="auto" w:sz="4" w:space="0"/>
            </w:tcBorders>
            <w:vAlign w:val="center"/>
          </w:tcPr>
          <w:p w14:paraId="0FF53C5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不减少</w:t>
            </w:r>
          </w:p>
        </w:tc>
        <w:tc>
          <w:tcPr>
            <w:tcW w:w="851" w:type="pct"/>
            <w:tcBorders>
              <w:top w:val="single" w:color="auto" w:sz="4" w:space="0"/>
              <w:left w:val="single" w:color="auto" w:sz="4" w:space="0"/>
              <w:bottom w:val="single" w:color="auto" w:sz="4" w:space="0"/>
              <w:right w:val="single" w:color="auto" w:sz="4" w:space="0"/>
            </w:tcBorders>
          </w:tcPr>
          <w:p w14:paraId="5082EC4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lang w:val="en-US" w:eastAsia="zh-CN"/>
              </w:rPr>
              <w:t>不降低</w:t>
            </w:r>
          </w:p>
        </w:tc>
        <w:tc>
          <w:tcPr>
            <w:tcW w:w="366" w:type="pct"/>
            <w:tcBorders>
              <w:top w:val="single" w:color="auto" w:sz="4" w:space="0"/>
              <w:left w:val="single" w:color="auto" w:sz="4" w:space="0"/>
              <w:bottom w:val="single" w:color="auto" w:sz="4" w:space="0"/>
              <w:right w:val="single" w:color="auto" w:sz="4" w:space="0"/>
            </w:tcBorders>
            <w:vAlign w:val="center"/>
          </w:tcPr>
          <w:p w14:paraId="778B571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0750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4FC1CFF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2BFA7D4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31D2072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16</w:t>
            </w:r>
          </w:p>
        </w:tc>
        <w:tc>
          <w:tcPr>
            <w:tcW w:w="1607" w:type="pct"/>
            <w:tcBorders>
              <w:top w:val="single" w:color="auto" w:sz="4" w:space="0"/>
              <w:left w:val="single" w:color="auto" w:sz="4" w:space="0"/>
              <w:bottom w:val="single" w:color="auto" w:sz="4" w:space="0"/>
              <w:right w:val="single" w:color="auto" w:sz="4" w:space="0"/>
            </w:tcBorders>
            <w:vAlign w:val="center"/>
          </w:tcPr>
          <w:p w14:paraId="708A410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湿地保有量占国土面积比例（%）</w:t>
            </w:r>
          </w:p>
        </w:tc>
        <w:tc>
          <w:tcPr>
            <w:tcW w:w="922" w:type="pct"/>
            <w:tcBorders>
              <w:top w:val="single" w:color="auto" w:sz="4" w:space="0"/>
              <w:left w:val="single" w:color="auto" w:sz="4" w:space="0"/>
              <w:bottom w:val="single" w:color="auto" w:sz="4" w:space="0"/>
              <w:right w:val="single" w:color="auto" w:sz="4" w:space="0"/>
            </w:tcBorders>
            <w:vAlign w:val="center"/>
          </w:tcPr>
          <w:p w14:paraId="7EC5BD5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不降低</w:t>
            </w:r>
          </w:p>
        </w:tc>
        <w:tc>
          <w:tcPr>
            <w:tcW w:w="851" w:type="pct"/>
            <w:tcBorders>
              <w:top w:val="single" w:color="auto" w:sz="4" w:space="0"/>
              <w:left w:val="single" w:color="auto" w:sz="4" w:space="0"/>
              <w:bottom w:val="single" w:color="auto" w:sz="4" w:space="0"/>
              <w:right w:val="single" w:color="auto" w:sz="4" w:space="0"/>
            </w:tcBorders>
          </w:tcPr>
          <w:p w14:paraId="2F413B8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lang w:val="en-US" w:eastAsia="zh-CN"/>
              </w:rPr>
              <w:t>不降低</w:t>
            </w:r>
          </w:p>
        </w:tc>
        <w:tc>
          <w:tcPr>
            <w:tcW w:w="366" w:type="pct"/>
            <w:tcBorders>
              <w:top w:val="single" w:color="auto" w:sz="4" w:space="0"/>
              <w:left w:val="single" w:color="auto" w:sz="4" w:space="0"/>
              <w:bottom w:val="single" w:color="auto" w:sz="4" w:space="0"/>
              <w:right w:val="single" w:color="auto" w:sz="4" w:space="0"/>
            </w:tcBorders>
            <w:vAlign w:val="center"/>
          </w:tcPr>
          <w:p w14:paraId="26A420D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107E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02DF026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27330C9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3EDC0A8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17</w:t>
            </w:r>
          </w:p>
        </w:tc>
        <w:tc>
          <w:tcPr>
            <w:tcW w:w="1607" w:type="pct"/>
            <w:tcBorders>
              <w:top w:val="single" w:color="auto" w:sz="4" w:space="0"/>
              <w:left w:val="single" w:color="auto" w:sz="4" w:space="0"/>
              <w:bottom w:val="single" w:color="auto" w:sz="4" w:space="0"/>
              <w:right w:val="single" w:color="auto" w:sz="4" w:space="0"/>
            </w:tcBorders>
            <w:vAlign w:val="center"/>
          </w:tcPr>
          <w:p w14:paraId="481FB38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森林覆盖率（%）</w:t>
            </w:r>
          </w:p>
        </w:tc>
        <w:tc>
          <w:tcPr>
            <w:tcW w:w="922" w:type="pct"/>
            <w:tcBorders>
              <w:top w:val="single" w:color="auto" w:sz="4" w:space="0"/>
              <w:left w:val="single" w:color="auto" w:sz="4" w:space="0"/>
              <w:bottom w:val="single" w:color="auto" w:sz="4" w:space="0"/>
              <w:right w:val="single" w:color="auto" w:sz="4" w:space="0"/>
            </w:tcBorders>
            <w:vAlign w:val="center"/>
          </w:tcPr>
          <w:p w14:paraId="790006E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72</w:t>
            </w:r>
          </w:p>
        </w:tc>
        <w:tc>
          <w:tcPr>
            <w:tcW w:w="851" w:type="pct"/>
            <w:tcBorders>
              <w:top w:val="single" w:color="auto" w:sz="4" w:space="0"/>
              <w:left w:val="single" w:color="auto" w:sz="4" w:space="0"/>
              <w:bottom w:val="single" w:color="auto" w:sz="4" w:space="0"/>
              <w:right w:val="single" w:color="auto" w:sz="4" w:space="0"/>
            </w:tcBorders>
            <w:vAlign w:val="center"/>
          </w:tcPr>
          <w:p w14:paraId="31E681A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65.02</w:t>
            </w:r>
          </w:p>
        </w:tc>
        <w:tc>
          <w:tcPr>
            <w:tcW w:w="366" w:type="pct"/>
            <w:tcBorders>
              <w:top w:val="single" w:color="auto" w:sz="4" w:space="0"/>
              <w:left w:val="single" w:color="auto" w:sz="4" w:space="0"/>
              <w:bottom w:val="single" w:color="auto" w:sz="4" w:space="0"/>
              <w:right w:val="single" w:color="auto" w:sz="4" w:space="0"/>
            </w:tcBorders>
            <w:vAlign w:val="center"/>
          </w:tcPr>
          <w:p w14:paraId="3364054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未达到</w:t>
            </w:r>
          </w:p>
        </w:tc>
      </w:tr>
      <w:tr w14:paraId="03B6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66C9C2F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1D4C4FF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环境管理</w:t>
            </w:r>
          </w:p>
        </w:tc>
        <w:tc>
          <w:tcPr>
            <w:tcW w:w="266" w:type="pct"/>
            <w:tcBorders>
              <w:top w:val="single" w:color="auto" w:sz="4" w:space="0"/>
              <w:left w:val="single" w:color="auto" w:sz="4" w:space="0"/>
              <w:bottom w:val="single" w:color="auto" w:sz="4" w:space="0"/>
              <w:right w:val="single" w:color="auto" w:sz="4" w:space="0"/>
            </w:tcBorders>
            <w:vAlign w:val="center"/>
          </w:tcPr>
          <w:p w14:paraId="143905E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18</w:t>
            </w:r>
          </w:p>
        </w:tc>
        <w:tc>
          <w:tcPr>
            <w:tcW w:w="1607" w:type="pct"/>
            <w:tcBorders>
              <w:top w:val="single" w:color="auto" w:sz="4" w:space="0"/>
              <w:left w:val="single" w:color="auto" w:sz="4" w:space="0"/>
              <w:bottom w:val="single" w:color="auto" w:sz="4" w:space="0"/>
              <w:right w:val="single" w:color="auto" w:sz="4" w:space="0"/>
            </w:tcBorders>
            <w:vAlign w:val="center"/>
          </w:tcPr>
          <w:p w14:paraId="5025FCD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工业固体废物综合利用率（％）</w:t>
            </w:r>
          </w:p>
        </w:tc>
        <w:tc>
          <w:tcPr>
            <w:tcW w:w="922" w:type="pct"/>
            <w:tcBorders>
              <w:top w:val="single" w:color="auto" w:sz="4" w:space="0"/>
              <w:left w:val="single" w:color="auto" w:sz="4" w:space="0"/>
              <w:bottom w:val="single" w:color="auto" w:sz="4" w:space="0"/>
              <w:right w:val="single" w:color="auto" w:sz="4" w:space="0"/>
            </w:tcBorders>
            <w:vAlign w:val="center"/>
          </w:tcPr>
          <w:p w14:paraId="656D781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w:t>
            </w:r>
            <w:r>
              <w:rPr>
                <w:rFonts w:ascii="Times New Roman" w:hAnsi="Times New Roman"/>
                <w:bCs/>
                <w:color w:val="000000"/>
                <w:sz w:val="21"/>
                <w:szCs w:val="21"/>
                <w:highlight w:val="none"/>
              </w:rPr>
              <w:t>0</w:t>
            </w:r>
          </w:p>
        </w:tc>
        <w:tc>
          <w:tcPr>
            <w:tcW w:w="851" w:type="pct"/>
            <w:tcBorders>
              <w:top w:val="single" w:color="auto" w:sz="4" w:space="0"/>
              <w:left w:val="single" w:color="auto" w:sz="4" w:space="0"/>
              <w:bottom w:val="single" w:color="auto" w:sz="4" w:space="0"/>
              <w:right w:val="single" w:color="auto" w:sz="4" w:space="0"/>
            </w:tcBorders>
            <w:vAlign w:val="center"/>
          </w:tcPr>
          <w:p w14:paraId="26A14E8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311021F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6B6C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11E0629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389E8E2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05C14AE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19</w:t>
            </w:r>
          </w:p>
        </w:tc>
        <w:tc>
          <w:tcPr>
            <w:tcW w:w="1607" w:type="pct"/>
            <w:tcBorders>
              <w:top w:val="single" w:color="auto" w:sz="4" w:space="0"/>
              <w:left w:val="single" w:color="auto" w:sz="4" w:space="0"/>
              <w:bottom w:val="single" w:color="auto" w:sz="4" w:space="0"/>
              <w:right w:val="single" w:color="auto" w:sz="4" w:space="0"/>
            </w:tcBorders>
            <w:vAlign w:val="center"/>
          </w:tcPr>
          <w:p w14:paraId="6936991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农村生活用能中清洁能源所占比例（%）</w:t>
            </w:r>
          </w:p>
        </w:tc>
        <w:tc>
          <w:tcPr>
            <w:tcW w:w="922" w:type="pct"/>
            <w:tcBorders>
              <w:top w:val="single" w:color="auto" w:sz="4" w:space="0"/>
              <w:left w:val="single" w:color="auto" w:sz="4" w:space="0"/>
              <w:bottom w:val="single" w:color="auto" w:sz="4" w:space="0"/>
              <w:right w:val="single" w:color="auto" w:sz="4" w:space="0"/>
            </w:tcBorders>
            <w:vAlign w:val="center"/>
          </w:tcPr>
          <w:p w14:paraId="7E8FBF4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50</w:t>
            </w:r>
          </w:p>
        </w:tc>
        <w:tc>
          <w:tcPr>
            <w:tcW w:w="851" w:type="pct"/>
            <w:tcBorders>
              <w:top w:val="single" w:color="auto" w:sz="4" w:space="0"/>
              <w:left w:val="single" w:color="auto" w:sz="4" w:space="0"/>
              <w:bottom w:val="single" w:color="auto" w:sz="4" w:space="0"/>
              <w:right w:val="single" w:color="auto" w:sz="4" w:space="0"/>
            </w:tcBorders>
            <w:vAlign w:val="center"/>
          </w:tcPr>
          <w:p w14:paraId="5971F30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50</w:t>
            </w:r>
          </w:p>
        </w:tc>
        <w:tc>
          <w:tcPr>
            <w:tcW w:w="366" w:type="pct"/>
            <w:tcBorders>
              <w:top w:val="single" w:color="auto" w:sz="4" w:space="0"/>
              <w:left w:val="single" w:color="auto" w:sz="4" w:space="0"/>
              <w:bottom w:val="single" w:color="auto" w:sz="4" w:space="0"/>
              <w:right w:val="single" w:color="auto" w:sz="4" w:space="0"/>
            </w:tcBorders>
            <w:vAlign w:val="center"/>
          </w:tcPr>
          <w:p w14:paraId="2E7EC16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2F5B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7FFD7E1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3521806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0DF887D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20</w:t>
            </w:r>
          </w:p>
        </w:tc>
        <w:tc>
          <w:tcPr>
            <w:tcW w:w="1607" w:type="pct"/>
            <w:tcBorders>
              <w:top w:val="single" w:color="auto" w:sz="4" w:space="0"/>
              <w:left w:val="single" w:color="auto" w:sz="4" w:space="0"/>
              <w:bottom w:val="single" w:color="auto" w:sz="4" w:space="0"/>
              <w:right w:val="single" w:color="auto" w:sz="4" w:space="0"/>
            </w:tcBorders>
            <w:vAlign w:val="center"/>
          </w:tcPr>
          <w:p w14:paraId="4B7F086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农作物秸秆综合利用率（%）</w:t>
            </w:r>
          </w:p>
        </w:tc>
        <w:tc>
          <w:tcPr>
            <w:tcW w:w="922" w:type="pct"/>
            <w:tcBorders>
              <w:top w:val="single" w:color="auto" w:sz="4" w:space="0"/>
              <w:left w:val="single" w:color="auto" w:sz="4" w:space="0"/>
              <w:bottom w:val="single" w:color="auto" w:sz="4" w:space="0"/>
              <w:right w:val="single" w:color="auto" w:sz="4" w:space="0"/>
            </w:tcBorders>
            <w:vAlign w:val="center"/>
          </w:tcPr>
          <w:p w14:paraId="0BB49C0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95</w:t>
            </w:r>
          </w:p>
        </w:tc>
        <w:tc>
          <w:tcPr>
            <w:tcW w:w="851" w:type="pct"/>
            <w:tcBorders>
              <w:top w:val="single" w:color="auto" w:sz="4" w:space="0"/>
              <w:left w:val="single" w:color="auto" w:sz="4" w:space="0"/>
              <w:bottom w:val="single" w:color="auto" w:sz="4" w:space="0"/>
              <w:right w:val="single" w:color="auto" w:sz="4" w:space="0"/>
            </w:tcBorders>
            <w:vAlign w:val="center"/>
          </w:tcPr>
          <w:p w14:paraId="2919D0A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95</w:t>
            </w:r>
          </w:p>
        </w:tc>
        <w:tc>
          <w:tcPr>
            <w:tcW w:w="366" w:type="pct"/>
            <w:tcBorders>
              <w:top w:val="single" w:color="auto" w:sz="4" w:space="0"/>
              <w:left w:val="single" w:color="auto" w:sz="4" w:space="0"/>
              <w:bottom w:val="single" w:color="auto" w:sz="4" w:space="0"/>
              <w:right w:val="single" w:color="auto" w:sz="4" w:space="0"/>
            </w:tcBorders>
            <w:vAlign w:val="center"/>
          </w:tcPr>
          <w:p w14:paraId="502E124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134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35287DC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311B27D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1F67AFB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21</w:t>
            </w:r>
          </w:p>
        </w:tc>
        <w:tc>
          <w:tcPr>
            <w:tcW w:w="1607" w:type="pct"/>
            <w:tcBorders>
              <w:top w:val="single" w:color="auto" w:sz="4" w:space="0"/>
              <w:left w:val="single" w:color="auto" w:sz="4" w:space="0"/>
              <w:bottom w:val="single" w:color="auto" w:sz="4" w:space="0"/>
              <w:right w:val="single" w:color="auto" w:sz="4" w:space="0"/>
            </w:tcBorders>
            <w:vAlign w:val="center"/>
          </w:tcPr>
          <w:p w14:paraId="7CEEC2B6">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机动车尾气排放达标率（%）</w:t>
            </w:r>
          </w:p>
        </w:tc>
        <w:tc>
          <w:tcPr>
            <w:tcW w:w="922" w:type="pct"/>
            <w:tcBorders>
              <w:top w:val="single" w:color="auto" w:sz="4" w:space="0"/>
              <w:left w:val="single" w:color="auto" w:sz="4" w:space="0"/>
              <w:bottom w:val="single" w:color="auto" w:sz="4" w:space="0"/>
              <w:right w:val="single" w:color="auto" w:sz="4" w:space="0"/>
            </w:tcBorders>
            <w:vAlign w:val="center"/>
          </w:tcPr>
          <w:p w14:paraId="5FB0E1F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263FF8D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029F370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1B51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550E964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09EA254B">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6A8758F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w:t>
            </w:r>
            <w:r>
              <w:rPr>
                <w:rFonts w:hint="eastAsia" w:ascii="Times New Roman" w:hAnsi="Times New Roman"/>
                <w:bCs/>
                <w:color w:val="000000"/>
                <w:sz w:val="21"/>
                <w:szCs w:val="21"/>
                <w:highlight w:val="none"/>
              </w:rPr>
              <w:t>2</w:t>
            </w:r>
          </w:p>
        </w:tc>
        <w:tc>
          <w:tcPr>
            <w:tcW w:w="1607" w:type="pct"/>
            <w:tcBorders>
              <w:top w:val="single" w:color="auto" w:sz="4" w:space="0"/>
              <w:left w:val="single" w:color="auto" w:sz="4" w:space="0"/>
              <w:bottom w:val="single" w:color="auto" w:sz="4" w:space="0"/>
              <w:right w:val="single" w:color="auto" w:sz="4" w:space="0"/>
            </w:tcBorders>
            <w:vAlign w:val="center"/>
          </w:tcPr>
          <w:p w14:paraId="2739A42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重点污染源自动在线监控率（%）</w:t>
            </w:r>
          </w:p>
        </w:tc>
        <w:tc>
          <w:tcPr>
            <w:tcW w:w="922" w:type="pct"/>
            <w:tcBorders>
              <w:top w:val="single" w:color="auto" w:sz="4" w:space="0"/>
              <w:left w:val="single" w:color="auto" w:sz="4" w:space="0"/>
              <w:bottom w:val="single" w:color="auto" w:sz="4" w:space="0"/>
              <w:right w:val="single" w:color="auto" w:sz="4" w:space="0"/>
            </w:tcBorders>
            <w:vAlign w:val="center"/>
          </w:tcPr>
          <w:p w14:paraId="023E34E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4248141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18F89DE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29E0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2282051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0CB27EE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499CC6D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w:t>
            </w:r>
            <w:r>
              <w:rPr>
                <w:rFonts w:hint="eastAsia" w:ascii="Times New Roman" w:hAnsi="Times New Roman"/>
                <w:bCs/>
                <w:color w:val="000000"/>
                <w:sz w:val="21"/>
                <w:szCs w:val="21"/>
                <w:highlight w:val="none"/>
              </w:rPr>
              <w:t>3</w:t>
            </w:r>
          </w:p>
        </w:tc>
        <w:tc>
          <w:tcPr>
            <w:tcW w:w="1607" w:type="pct"/>
            <w:tcBorders>
              <w:top w:val="single" w:color="auto" w:sz="4" w:space="0"/>
              <w:left w:val="single" w:color="auto" w:sz="4" w:space="0"/>
              <w:bottom w:val="single" w:color="auto" w:sz="4" w:space="0"/>
              <w:right w:val="single" w:color="auto" w:sz="4" w:space="0"/>
            </w:tcBorders>
            <w:vAlign w:val="center"/>
          </w:tcPr>
          <w:p w14:paraId="2E2679D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重点污染源排污许可证发放率（%）</w:t>
            </w:r>
          </w:p>
        </w:tc>
        <w:tc>
          <w:tcPr>
            <w:tcW w:w="922" w:type="pct"/>
            <w:tcBorders>
              <w:top w:val="single" w:color="auto" w:sz="4" w:space="0"/>
              <w:left w:val="single" w:color="auto" w:sz="4" w:space="0"/>
              <w:bottom w:val="single" w:color="auto" w:sz="4" w:space="0"/>
              <w:right w:val="single" w:color="auto" w:sz="4" w:space="0"/>
            </w:tcBorders>
            <w:vAlign w:val="center"/>
          </w:tcPr>
          <w:p w14:paraId="3AD14E65">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075E7A53">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3301927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1643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71" w:type="pct"/>
            <w:vMerge w:val="continue"/>
            <w:tcBorders>
              <w:left w:val="single" w:color="auto" w:sz="4" w:space="0"/>
              <w:bottom w:val="single" w:color="auto" w:sz="4" w:space="0"/>
              <w:right w:val="single" w:color="auto" w:sz="4" w:space="0"/>
            </w:tcBorders>
            <w:vAlign w:val="center"/>
          </w:tcPr>
          <w:p w14:paraId="5E51D86D">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continue"/>
            <w:tcBorders>
              <w:left w:val="single" w:color="auto" w:sz="4" w:space="0"/>
              <w:bottom w:val="single" w:color="auto" w:sz="4" w:space="0"/>
              <w:right w:val="single" w:color="auto" w:sz="4" w:space="0"/>
            </w:tcBorders>
            <w:vAlign w:val="center"/>
          </w:tcPr>
          <w:p w14:paraId="4E7A5D5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266" w:type="pct"/>
            <w:tcBorders>
              <w:top w:val="single" w:color="auto" w:sz="4" w:space="0"/>
              <w:left w:val="single" w:color="auto" w:sz="4" w:space="0"/>
              <w:bottom w:val="single" w:color="auto" w:sz="4" w:space="0"/>
              <w:right w:val="single" w:color="auto" w:sz="4" w:space="0"/>
            </w:tcBorders>
            <w:vAlign w:val="center"/>
          </w:tcPr>
          <w:p w14:paraId="62B62D49">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w:t>
            </w:r>
            <w:r>
              <w:rPr>
                <w:rFonts w:hint="eastAsia" w:ascii="Times New Roman" w:hAnsi="Times New Roman"/>
                <w:bCs/>
                <w:color w:val="000000"/>
                <w:sz w:val="21"/>
                <w:szCs w:val="21"/>
                <w:highlight w:val="none"/>
              </w:rPr>
              <w:t>4</w:t>
            </w:r>
          </w:p>
        </w:tc>
        <w:tc>
          <w:tcPr>
            <w:tcW w:w="1607" w:type="pct"/>
            <w:tcBorders>
              <w:top w:val="single" w:color="auto" w:sz="4" w:space="0"/>
              <w:left w:val="single" w:color="auto" w:sz="4" w:space="0"/>
              <w:bottom w:val="single" w:color="auto" w:sz="4" w:space="0"/>
              <w:right w:val="single" w:color="auto" w:sz="4" w:space="0"/>
            </w:tcBorders>
            <w:vAlign w:val="center"/>
          </w:tcPr>
          <w:p w14:paraId="5A6203E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辐射工作单位安全许可证发放率（%）</w:t>
            </w:r>
          </w:p>
        </w:tc>
        <w:tc>
          <w:tcPr>
            <w:tcW w:w="922" w:type="pct"/>
            <w:tcBorders>
              <w:top w:val="single" w:color="auto" w:sz="4" w:space="0"/>
              <w:left w:val="single" w:color="auto" w:sz="4" w:space="0"/>
              <w:bottom w:val="single" w:color="auto" w:sz="4" w:space="0"/>
              <w:right w:val="single" w:color="auto" w:sz="4" w:space="0"/>
            </w:tcBorders>
            <w:vAlign w:val="center"/>
          </w:tcPr>
          <w:p w14:paraId="20A8475F">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100</w:t>
            </w:r>
          </w:p>
        </w:tc>
        <w:tc>
          <w:tcPr>
            <w:tcW w:w="851" w:type="pct"/>
            <w:tcBorders>
              <w:top w:val="single" w:color="auto" w:sz="4" w:space="0"/>
              <w:left w:val="single" w:color="auto" w:sz="4" w:space="0"/>
              <w:bottom w:val="single" w:color="auto" w:sz="4" w:space="0"/>
              <w:right w:val="single" w:color="auto" w:sz="4" w:space="0"/>
            </w:tcBorders>
            <w:vAlign w:val="center"/>
          </w:tcPr>
          <w:p w14:paraId="4E5B3CF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hint="eastAsia" w:ascii="Times New Roman" w:hAnsi="Times New Roman"/>
                <w:bCs/>
                <w:color w:val="000000"/>
                <w:sz w:val="21"/>
                <w:szCs w:val="21"/>
                <w:highlight w:val="none"/>
              </w:rPr>
              <w:t>100</w:t>
            </w:r>
          </w:p>
        </w:tc>
        <w:tc>
          <w:tcPr>
            <w:tcW w:w="366" w:type="pct"/>
            <w:tcBorders>
              <w:top w:val="single" w:color="auto" w:sz="4" w:space="0"/>
              <w:left w:val="single" w:color="auto" w:sz="4" w:space="0"/>
              <w:bottom w:val="single" w:color="auto" w:sz="4" w:space="0"/>
              <w:right w:val="single" w:color="auto" w:sz="4" w:space="0"/>
            </w:tcBorders>
            <w:vAlign w:val="center"/>
          </w:tcPr>
          <w:p w14:paraId="12AF9960">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5F13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109619B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c>
          <w:tcPr>
            <w:tcW w:w="618" w:type="pct"/>
            <w:vMerge w:val="restart"/>
            <w:tcBorders>
              <w:top w:val="single" w:color="auto" w:sz="4" w:space="0"/>
              <w:left w:val="single" w:color="auto" w:sz="4" w:space="0"/>
              <w:bottom w:val="single" w:color="auto" w:sz="4" w:space="0"/>
              <w:right w:val="single" w:color="auto" w:sz="4" w:space="0"/>
            </w:tcBorders>
            <w:vAlign w:val="center"/>
          </w:tcPr>
          <w:p w14:paraId="5884B1A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能力建设</w:t>
            </w:r>
          </w:p>
        </w:tc>
        <w:tc>
          <w:tcPr>
            <w:tcW w:w="266" w:type="pct"/>
            <w:tcBorders>
              <w:top w:val="single" w:color="auto" w:sz="4" w:space="0"/>
              <w:left w:val="single" w:color="auto" w:sz="4" w:space="0"/>
              <w:bottom w:val="single" w:color="auto" w:sz="4" w:space="0"/>
              <w:right w:val="single" w:color="auto" w:sz="4" w:space="0"/>
            </w:tcBorders>
            <w:vAlign w:val="center"/>
          </w:tcPr>
          <w:p w14:paraId="7DC30F9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2</w:t>
            </w:r>
            <w:r>
              <w:rPr>
                <w:rFonts w:hint="eastAsia" w:ascii="Times New Roman" w:hAnsi="Times New Roman"/>
                <w:bCs/>
                <w:color w:val="000000"/>
                <w:sz w:val="21"/>
                <w:szCs w:val="21"/>
                <w:highlight w:val="none"/>
              </w:rPr>
              <w:t>5</w:t>
            </w:r>
          </w:p>
        </w:tc>
        <w:tc>
          <w:tcPr>
            <w:tcW w:w="1607" w:type="pct"/>
            <w:tcBorders>
              <w:top w:val="single" w:color="auto" w:sz="4" w:space="0"/>
              <w:left w:val="single" w:color="auto" w:sz="4" w:space="0"/>
              <w:bottom w:val="single" w:color="auto" w:sz="4" w:space="0"/>
              <w:right w:val="single" w:color="auto" w:sz="4" w:space="0"/>
            </w:tcBorders>
            <w:vAlign w:val="center"/>
          </w:tcPr>
          <w:p w14:paraId="1E7FAA2E">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环境监察能力建设</w:t>
            </w:r>
          </w:p>
        </w:tc>
        <w:tc>
          <w:tcPr>
            <w:tcW w:w="922" w:type="pct"/>
            <w:tcBorders>
              <w:top w:val="single" w:color="auto" w:sz="4" w:space="0"/>
              <w:left w:val="single" w:color="auto" w:sz="4" w:space="0"/>
              <w:bottom w:val="single" w:color="auto" w:sz="4" w:space="0"/>
              <w:right w:val="single" w:color="auto" w:sz="4" w:space="0"/>
            </w:tcBorders>
            <w:vAlign w:val="center"/>
          </w:tcPr>
          <w:p w14:paraId="6E747E97">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r>
              <w:rPr>
                <w:rFonts w:ascii="Times New Roman" w:hAnsi="Times New Roman"/>
                <w:bCs/>
                <w:color w:val="000000"/>
                <w:sz w:val="21"/>
                <w:szCs w:val="21"/>
                <w:highlight w:val="none"/>
              </w:rPr>
              <w:t>中部二级标准</w:t>
            </w:r>
          </w:p>
        </w:tc>
        <w:tc>
          <w:tcPr>
            <w:tcW w:w="851" w:type="pct"/>
            <w:tcBorders>
              <w:top w:val="single" w:color="auto" w:sz="4" w:space="0"/>
              <w:left w:val="single" w:color="auto" w:sz="4" w:space="0"/>
              <w:bottom w:val="single" w:color="auto" w:sz="4" w:space="0"/>
              <w:right w:val="single" w:color="auto" w:sz="4" w:space="0"/>
            </w:tcBorders>
            <w:vAlign w:val="center"/>
          </w:tcPr>
          <w:p w14:paraId="1171E39E">
            <w:pPr>
              <w:pStyle w:val="24"/>
              <w:suppressAutoHyphens/>
              <w:kinsoku w:val="0"/>
              <w:overflowPunct w:val="0"/>
              <w:autoSpaceDE w:val="0"/>
              <w:autoSpaceDN w:val="0"/>
              <w:snapToGrid w:val="0"/>
              <w:spacing w:before="0" w:line="240" w:lineRule="auto"/>
              <w:ind w:firstLine="0" w:firstLineChars="0"/>
              <w:jc w:val="center"/>
              <w:rPr>
                <w:rFonts w:hint="eastAsia" w:ascii="Times New Roman" w:hAnsi="Times New Roman"/>
                <w:bCs/>
                <w:color w:val="000000"/>
                <w:sz w:val="21"/>
                <w:szCs w:val="21"/>
                <w:highlight w:val="none"/>
              </w:rPr>
            </w:pPr>
            <w:r>
              <w:rPr>
                <w:rFonts w:hint="eastAsia" w:ascii="Times New Roman" w:hAnsi="Times New Roman"/>
                <w:bCs/>
                <w:color w:val="000000"/>
                <w:sz w:val="21"/>
                <w:szCs w:val="21"/>
                <w:highlight w:val="none"/>
              </w:rPr>
              <w:t>中部</w:t>
            </w:r>
            <w:r>
              <w:rPr>
                <w:rFonts w:ascii="Times New Roman" w:hAnsi="Times New Roman"/>
                <w:bCs/>
                <w:color w:val="000000"/>
                <w:sz w:val="21"/>
                <w:szCs w:val="21"/>
                <w:highlight w:val="none"/>
              </w:rPr>
              <w:t>二级标准</w:t>
            </w:r>
          </w:p>
        </w:tc>
        <w:tc>
          <w:tcPr>
            <w:tcW w:w="366" w:type="pct"/>
            <w:tcBorders>
              <w:top w:val="single" w:color="auto" w:sz="4" w:space="0"/>
              <w:left w:val="single" w:color="auto" w:sz="4" w:space="0"/>
              <w:bottom w:val="single" w:color="auto" w:sz="4" w:space="0"/>
              <w:right w:val="single" w:color="auto" w:sz="4" w:space="0"/>
            </w:tcBorders>
            <w:vAlign w:val="center"/>
          </w:tcPr>
          <w:p w14:paraId="7A41C918">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highlight w:val="none"/>
              </w:rPr>
            </w:pPr>
          </w:p>
        </w:tc>
      </w:tr>
      <w:tr w14:paraId="68AD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371" w:type="pct"/>
            <w:vMerge w:val="continue"/>
            <w:tcBorders>
              <w:top w:val="single" w:color="auto" w:sz="4" w:space="0"/>
              <w:left w:val="single" w:color="auto" w:sz="4" w:space="0"/>
              <w:bottom w:val="single" w:color="auto" w:sz="4" w:space="0"/>
              <w:right w:val="single" w:color="auto" w:sz="4" w:space="0"/>
            </w:tcBorders>
            <w:vAlign w:val="center"/>
          </w:tcPr>
          <w:p w14:paraId="433722BC">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14:paraId="512E7A9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p>
        </w:tc>
        <w:tc>
          <w:tcPr>
            <w:tcW w:w="266" w:type="pct"/>
            <w:tcBorders>
              <w:top w:val="single" w:color="auto" w:sz="4" w:space="0"/>
              <w:left w:val="single" w:color="auto" w:sz="4" w:space="0"/>
              <w:right w:val="single" w:color="auto" w:sz="4" w:space="0"/>
            </w:tcBorders>
            <w:vAlign w:val="center"/>
          </w:tcPr>
          <w:p w14:paraId="5CEE0174">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r>
              <w:rPr>
                <w:rFonts w:ascii="Times New Roman" w:hAnsi="Times New Roman"/>
                <w:bCs/>
                <w:color w:val="000000"/>
                <w:sz w:val="21"/>
                <w:szCs w:val="21"/>
              </w:rPr>
              <w:t>2</w:t>
            </w:r>
            <w:r>
              <w:rPr>
                <w:rFonts w:hint="eastAsia" w:ascii="Times New Roman" w:hAnsi="Times New Roman"/>
                <w:bCs/>
                <w:color w:val="000000"/>
                <w:sz w:val="21"/>
                <w:szCs w:val="21"/>
              </w:rPr>
              <w:t>6</w:t>
            </w:r>
          </w:p>
        </w:tc>
        <w:tc>
          <w:tcPr>
            <w:tcW w:w="1607" w:type="pct"/>
            <w:tcBorders>
              <w:top w:val="single" w:color="auto" w:sz="4" w:space="0"/>
              <w:left w:val="single" w:color="auto" w:sz="4" w:space="0"/>
              <w:right w:val="single" w:color="auto" w:sz="4" w:space="0"/>
            </w:tcBorders>
            <w:vAlign w:val="center"/>
          </w:tcPr>
          <w:p w14:paraId="276F5101">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r>
              <w:rPr>
                <w:rFonts w:ascii="Times New Roman" w:hAnsi="Times New Roman"/>
                <w:bCs/>
                <w:color w:val="000000"/>
                <w:sz w:val="21"/>
                <w:szCs w:val="21"/>
              </w:rPr>
              <w:t>环境监测能力建设</w:t>
            </w:r>
          </w:p>
        </w:tc>
        <w:tc>
          <w:tcPr>
            <w:tcW w:w="922" w:type="pct"/>
            <w:tcBorders>
              <w:top w:val="single" w:color="auto" w:sz="4" w:space="0"/>
              <w:left w:val="single" w:color="auto" w:sz="4" w:space="0"/>
              <w:bottom w:val="single" w:color="auto" w:sz="4" w:space="0"/>
              <w:right w:val="single" w:color="auto" w:sz="4" w:space="0"/>
            </w:tcBorders>
            <w:vAlign w:val="center"/>
          </w:tcPr>
          <w:p w14:paraId="3B4C335A">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r>
              <w:rPr>
                <w:rFonts w:ascii="Times New Roman" w:hAnsi="Times New Roman"/>
                <w:bCs/>
                <w:color w:val="000000"/>
                <w:sz w:val="21"/>
                <w:szCs w:val="21"/>
              </w:rPr>
              <w:t>中部地区标准</w:t>
            </w:r>
          </w:p>
        </w:tc>
        <w:tc>
          <w:tcPr>
            <w:tcW w:w="851" w:type="pct"/>
            <w:tcBorders>
              <w:top w:val="single" w:color="auto" w:sz="4" w:space="0"/>
              <w:left w:val="single" w:color="auto" w:sz="4" w:space="0"/>
              <w:bottom w:val="single" w:color="auto" w:sz="4" w:space="0"/>
              <w:right w:val="single" w:color="auto" w:sz="4" w:space="0"/>
            </w:tcBorders>
            <w:vAlign w:val="center"/>
          </w:tcPr>
          <w:p w14:paraId="4B634ABA">
            <w:pPr>
              <w:pStyle w:val="24"/>
              <w:suppressAutoHyphens/>
              <w:kinsoku w:val="0"/>
              <w:overflowPunct w:val="0"/>
              <w:autoSpaceDE w:val="0"/>
              <w:autoSpaceDN w:val="0"/>
              <w:snapToGrid w:val="0"/>
              <w:spacing w:before="0" w:line="240" w:lineRule="auto"/>
              <w:ind w:firstLine="0" w:firstLineChars="0"/>
              <w:jc w:val="center"/>
              <w:rPr>
                <w:rFonts w:hint="eastAsia" w:ascii="Times New Roman" w:hAnsi="Times New Roman"/>
                <w:bCs/>
                <w:color w:val="000000"/>
                <w:sz w:val="21"/>
                <w:szCs w:val="21"/>
              </w:rPr>
            </w:pPr>
            <w:r>
              <w:rPr>
                <w:rFonts w:hint="eastAsia" w:ascii="Times New Roman" w:hAnsi="Times New Roman"/>
                <w:bCs/>
                <w:color w:val="000000"/>
                <w:sz w:val="21"/>
                <w:szCs w:val="21"/>
              </w:rPr>
              <w:t>中部二级</w:t>
            </w:r>
            <w:r>
              <w:rPr>
                <w:rFonts w:ascii="Times New Roman" w:hAnsi="Times New Roman"/>
                <w:bCs/>
                <w:color w:val="000000"/>
                <w:sz w:val="21"/>
                <w:szCs w:val="21"/>
              </w:rPr>
              <w:t>标准</w:t>
            </w:r>
          </w:p>
        </w:tc>
        <w:tc>
          <w:tcPr>
            <w:tcW w:w="366" w:type="pct"/>
            <w:tcBorders>
              <w:top w:val="single" w:color="auto" w:sz="4" w:space="0"/>
              <w:left w:val="single" w:color="auto" w:sz="4" w:space="0"/>
              <w:bottom w:val="single" w:color="auto" w:sz="4" w:space="0"/>
              <w:right w:val="single" w:color="auto" w:sz="4" w:space="0"/>
            </w:tcBorders>
            <w:vAlign w:val="center"/>
          </w:tcPr>
          <w:p w14:paraId="6A4568B2">
            <w:pPr>
              <w:pStyle w:val="24"/>
              <w:suppressAutoHyphens/>
              <w:kinsoku w:val="0"/>
              <w:overflowPunct w:val="0"/>
              <w:autoSpaceDE w:val="0"/>
              <w:autoSpaceDN w:val="0"/>
              <w:snapToGrid w:val="0"/>
              <w:spacing w:before="0" w:line="240" w:lineRule="auto"/>
              <w:ind w:firstLine="0" w:firstLineChars="0"/>
              <w:jc w:val="center"/>
              <w:rPr>
                <w:rFonts w:ascii="Times New Roman" w:hAnsi="Times New Roman"/>
                <w:bCs/>
                <w:color w:val="000000"/>
                <w:sz w:val="21"/>
                <w:szCs w:val="21"/>
              </w:rPr>
            </w:pPr>
          </w:p>
        </w:tc>
      </w:tr>
    </w:tbl>
    <w:p w14:paraId="72502647">
      <w:pPr>
        <w:pStyle w:val="21"/>
        <w:spacing w:before="312" w:beforeLines="100" w:line="360" w:lineRule="auto"/>
        <w:ind w:firstLine="622"/>
        <w:outlineLvl w:val="9"/>
        <w:rPr>
          <w:b/>
          <w:bCs/>
        </w:rPr>
      </w:pPr>
    </w:p>
    <w:p w14:paraId="5D0CFE42">
      <w:pPr>
        <w:pStyle w:val="21"/>
        <w:spacing w:before="312" w:beforeLines="100" w:line="360" w:lineRule="auto"/>
        <w:ind w:firstLine="622"/>
        <w:outlineLvl w:val="9"/>
        <w:rPr>
          <w:b/>
          <w:bCs/>
        </w:rPr>
      </w:pPr>
    </w:p>
    <w:p w14:paraId="53944148">
      <w:pPr>
        <w:pStyle w:val="21"/>
        <w:spacing w:before="312" w:beforeLines="100" w:line="360" w:lineRule="auto"/>
        <w:ind w:firstLine="622"/>
        <w:outlineLvl w:val="1"/>
        <w:rPr>
          <w:b/>
          <w:bCs/>
        </w:rPr>
      </w:pPr>
      <w:bookmarkStart w:id="6" w:name="_Toc1399"/>
      <w:r>
        <w:rPr>
          <w:rFonts w:hint="eastAsia"/>
          <w:b/>
          <w:bCs/>
        </w:rPr>
        <w:t>第二节 “十三五”生态环境保护存在的主要问题</w:t>
      </w:r>
      <w:bookmarkEnd w:id="6"/>
    </w:p>
    <w:p w14:paraId="25516E24">
      <w:pPr>
        <w:spacing w:line="420" w:lineRule="auto"/>
        <w:ind w:firstLine="560"/>
        <w:outlineLvl w:val="2"/>
        <w:rPr>
          <w:rFonts w:ascii="楷体" w:hAnsi="楷体" w:eastAsia="楷体" w:cs="楷体"/>
          <w:b/>
          <w:bCs/>
          <w:szCs w:val="28"/>
        </w:rPr>
      </w:pPr>
      <w:r>
        <w:rPr>
          <w:rFonts w:hint="eastAsia"/>
          <w:b/>
          <w:bCs/>
          <w:szCs w:val="28"/>
        </w:rPr>
        <w:t>一、大气污染防治工作尚需攻坚</w:t>
      </w:r>
    </w:p>
    <w:p w14:paraId="6EAD96A0">
      <w:pPr>
        <w:spacing w:line="42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大气污染源的各项管控、“散乱污”企业整治、建筑施工扬尘、道路扬尘、汽车尾气排放、餐饮油烟排查整治、砖瓦窑厂整治、</w:t>
      </w:r>
      <w:r>
        <w:rPr>
          <w:szCs w:val="28"/>
        </w:rPr>
        <w:t>VOC</w:t>
      </w:r>
      <w:r>
        <w:rPr>
          <w:rFonts w:hint="eastAsia"/>
          <w:szCs w:val="28"/>
          <w:vertAlign w:val="subscript"/>
        </w:rPr>
        <w:t>S</w:t>
      </w:r>
      <w:r>
        <w:rPr>
          <w:rFonts w:hint="eastAsia" w:ascii="仿宋_GB2312" w:hAnsi="仿宋_GB2312" w:eastAsia="仿宋_GB2312" w:cs="仿宋_GB2312"/>
          <w:szCs w:val="28"/>
        </w:rPr>
        <w:t>整治和垃圾秸秆禁烧等各项工作力度需进一步加大。</w:t>
      </w:r>
    </w:p>
    <w:p w14:paraId="76C05AB6">
      <w:pPr>
        <w:spacing w:line="420" w:lineRule="auto"/>
        <w:ind w:firstLine="560"/>
        <w:outlineLvl w:val="2"/>
        <w:rPr>
          <w:b/>
          <w:bCs/>
          <w:szCs w:val="28"/>
        </w:rPr>
      </w:pPr>
      <w:r>
        <w:rPr>
          <w:rFonts w:hint="eastAsia"/>
          <w:b/>
          <w:bCs/>
          <w:szCs w:val="28"/>
        </w:rPr>
        <w:t>二、水环境持续改善难度较大</w:t>
      </w:r>
    </w:p>
    <w:p w14:paraId="3E43B1CA">
      <w:pPr>
        <w:spacing w:line="42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基层河长制贯彻落实不到位，特别是农村黑臭水体治理点多面广，治理任务重，难度大。乡镇级（千吨万人）饮用水源地保护区已划分，但缺少相关数据，保护区内违法建筑和排污口仍在清理，水质安全尚有隐患。水果加工旺季，个别企业违法排污时有发生，部分企业（单位）偷排直排工业废水和生活污水，造成河道污染，影响出境断面水质不能稳定达标。个别企业违法排污时有发生，部分企业（单位）偷排直排工业废水和生活污水，造成河道污染，影响出境断面水质不能稳定达标。</w:t>
      </w:r>
    </w:p>
    <w:p w14:paraId="486338F6">
      <w:pPr>
        <w:spacing w:line="420" w:lineRule="auto"/>
        <w:ind w:firstLine="560"/>
        <w:outlineLvl w:val="2"/>
        <w:rPr>
          <w:b/>
          <w:bCs/>
          <w:szCs w:val="28"/>
        </w:rPr>
      </w:pPr>
      <w:r>
        <w:rPr>
          <w:rFonts w:hint="eastAsia"/>
          <w:b/>
          <w:bCs/>
          <w:szCs w:val="28"/>
        </w:rPr>
        <w:t>三、农村污染防治工作基础薄弱</w:t>
      </w:r>
    </w:p>
    <w:p w14:paraId="790BCCDF">
      <w:pPr>
        <w:spacing w:line="42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我县农村污染防治工作起步较晚，长期以来，农村环境基础设施建设不足，村民环境意识不高，地方财政投入不够，基层环保力量缺乏，再加上生态环境保护协调推进机制尚不健全，农业农村污染防治工作仍然很薄弱。</w:t>
      </w:r>
    </w:p>
    <w:p w14:paraId="2562A99C">
      <w:pPr>
        <w:spacing w:line="420" w:lineRule="auto"/>
        <w:ind w:firstLine="560"/>
        <w:outlineLvl w:val="2"/>
        <w:rPr>
          <w:b/>
          <w:bCs/>
          <w:szCs w:val="28"/>
        </w:rPr>
      </w:pPr>
      <w:r>
        <w:rPr>
          <w:rFonts w:hint="eastAsia"/>
          <w:b/>
          <w:bCs/>
          <w:szCs w:val="28"/>
        </w:rPr>
        <w:t>四、突出环境问题整改不够彻底</w:t>
      </w:r>
    </w:p>
    <w:p w14:paraId="7B4BAB47">
      <w:pPr>
        <w:spacing w:line="42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部分突出问题整改还存在整改标准不高，容易反弹等情况，例如省级美丽乡村中心村污水处理设施、乡镇政府驻地污水处理厂运行问题等，后期稳定运行压力较大。河长制贯彻落实尚不到位；落后产能淘汰，低端污染产业改造取缔不彻底；农村黑臭水体治理、饮用水源地保护任重道远。部分单位对已销号问题全覆盖核查不深入，后期监管不到位，环境监管合力不强，环境保护责任落实不力，全面加强生态环境保护工作存在不严不实。</w:t>
      </w:r>
    </w:p>
    <w:p w14:paraId="312B4C2F">
      <w:pPr>
        <w:spacing w:line="420" w:lineRule="auto"/>
        <w:ind w:firstLine="560"/>
        <w:outlineLvl w:val="2"/>
        <w:rPr>
          <w:rFonts w:ascii="楷体" w:hAnsi="楷体" w:eastAsia="楷体" w:cs="楷体"/>
          <w:b/>
          <w:bCs/>
          <w:szCs w:val="28"/>
        </w:rPr>
      </w:pPr>
      <w:r>
        <w:rPr>
          <w:rFonts w:hint="eastAsia"/>
          <w:b/>
          <w:bCs/>
          <w:szCs w:val="28"/>
        </w:rPr>
        <w:t>五、生态环境保护工作队伍建设有待加强</w:t>
      </w:r>
    </w:p>
    <w:p w14:paraId="11C5FE3E">
      <w:pPr>
        <w:spacing w:line="42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当前，生态环境系统垂直改革还在进行中，事业单位改革缓慢，监督监测、技术评估等生态环境保护力量仍然薄弱，整体素质有待提高。</w:t>
      </w:r>
    </w:p>
    <w:p w14:paraId="101FC6C1">
      <w:pPr>
        <w:pStyle w:val="3"/>
      </w:pPr>
      <w:bookmarkStart w:id="7" w:name="_Toc18261"/>
      <w:bookmarkStart w:id="8" w:name="_Toc2300"/>
      <w:r>
        <w:rPr>
          <w:rFonts w:hint="eastAsia"/>
        </w:rPr>
        <w:t>第三节 “十四五”生态环境保护</w:t>
      </w:r>
      <w:bookmarkEnd w:id="7"/>
      <w:r>
        <w:rPr>
          <w:rFonts w:hint="eastAsia"/>
        </w:rPr>
        <w:t>面临的机遇和挑战</w:t>
      </w:r>
      <w:bookmarkEnd w:id="8"/>
    </w:p>
    <w:p w14:paraId="3577915A">
      <w:pPr>
        <w:ind w:firstLine="560"/>
      </w:pPr>
      <w:bookmarkStart w:id="9" w:name="_Toc26409"/>
      <w:r>
        <w:t>“十三五”以来，</w:t>
      </w:r>
      <w:r>
        <w:rPr>
          <w:rFonts w:hint="eastAsia"/>
        </w:rPr>
        <w:t>砀山县</w:t>
      </w:r>
      <w:r>
        <w:t>生态环境保护工作取得积极成效，环境基础设施渐趋完善，污染减排成效明显，环境综合治理取得重大进展，</w:t>
      </w:r>
      <w:r>
        <w:rPr>
          <w:rFonts w:hint="eastAsia"/>
        </w:rPr>
        <w:t>但依然存在短板，持续巩固提升生态环境质量仍任重道远。</w:t>
      </w:r>
    </w:p>
    <w:bookmarkEnd w:id="9"/>
    <w:p w14:paraId="65BC025C">
      <w:pPr>
        <w:widowControl/>
        <w:spacing w:line="420" w:lineRule="auto"/>
        <w:ind w:firstLine="560"/>
        <w:jc w:val="left"/>
        <w:outlineLvl w:val="3"/>
        <w:rPr>
          <w:b/>
          <w:bCs/>
          <w:color w:val="0C0C0C"/>
          <w:kern w:val="0"/>
          <w:szCs w:val="28"/>
          <w:lang w:bidi="ar"/>
        </w:rPr>
      </w:pPr>
      <w:r>
        <w:rPr>
          <w:rFonts w:hint="eastAsia"/>
          <w:b/>
          <w:bCs/>
          <w:color w:val="0C0C0C"/>
          <w:kern w:val="0"/>
          <w:szCs w:val="28"/>
          <w:lang w:bidi="ar"/>
        </w:rPr>
        <w:t>一、面临的挑战</w:t>
      </w:r>
    </w:p>
    <w:p w14:paraId="37BCB9B5">
      <w:pPr>
        <w:widowControl/>
        <w:spacing w:line="420" w:lineRule="auto"/>
        <w:ind w:firstLine="560"/>
        <w:jc w:val="left"/>
        <w:outlineLvl w:val="3"/>
        <w:rPr>
          <w:rFonts w:ascii="仿宋" w:hAnsi="仿宋" w:cs="仿宋"/>
          <w:szCs w:val="28"/>
        </w:rPr>
      </w:pPr>
      <w:r>
        <w:rPr>
          <w:rFonts w:hint="eastAsia"/>
          <w:b/>
          <w:bCs/>
          <w:color w:val="0C0C0C"/>
          <w:kern w:val="0"/>
          <w:szCs w:val="28"/>
          <w:lang w:bidi="ar"/>
        </w:rPr>
        <w:t>（一）</w:t>
      </w:r>
      <w:r>
        <w:rPr>
          <w:rFonts w:hint="eastAsia" w:ascii="仿宋" w:hAnsi="仿宋" w:cs="仿宋"/>
          <w:b/>
          <w:bCs/>
          <w:color w:val="0C0C0C"/>
          <w:kern w:val="0"/>
          <w:szCs w:val="28"/>
          <w:lang w:bidi="ar"/>
        </w:rPr>
        <w:t xml:space="preserve">生态环境治理难度加大 </w:t>
      </w:r>
    </w:p>
    <w:p w14:paraId="7C9E4324">
      <w:pPr>
        <w:widowControl/>
        <w:spacing w:line="420" w:lineRule="auto"/>
        <w:ind w:firstLine="560"/>
        <w:jc w:val="left"/>
        <w:rPr>
          <w:rFonts w:ascii="仿宋" w:hAnsi="仿宋" w:cs="仿宋"/>
          <w:color w:val="000000"/>
          <w:kern w:val="0"/>
          <w:szCs w:val="28"/>
          <w:lang w:bidi="ar"/>
        </w:rPr>
      </w:pPr>
      <w:r>
        <w:rPr>
          <w:rFonts w:hint="eastAsia" w:ascii="仿宋" w:hAnsi="仿宋" w:cs="仿宋"/>
          <w:color w:val="000000"/>
          <w:kern w:val="0"/>
          <w:szCs w:val="28"/>
          <w:lang w:bidi="ar"/>
        </w:rPr>
        <w:t>一是经济下行压力加大带来更多挑战。受新冠肺炎疫情冲击叠加影响，国内外形势更加复杂严峻，经济发展面临的困难加大，</w:t>
      </w:r>
      <w:r>
        <w:t>生态安全也面临新要求新挑战</w:t>
      </w:r>
      <w:r>
        <w:rPr>
          <w:rFonts w:hint="eastAsia"/>
        </w:rPr>
        <w:t>，</w:t>
      </w:r>
      <w:r>
        <w:rPr>
          <w:rFonts w:hint="eastAsia" w:ascii="仿宋" w:hAnsi="仿宋" w:cs="仿宋"/>
          <w:color w:val="000000"/>
          <w:kern w:val="0"/>
          <w:szCs w:val="28"/>
          <w:lang w:bidi="ar"/>
        </w:rPr>
        <w:t>传统发展方式的惯性仍然存在。二是</w:t>
      </w:r>
      <w:r>
        <w:rPr>
          <w:rFonts w:hint="eastAsia" w:ascii="仿宋" w:hAnsi="仿宋" w:cs="仿宋"/>
          <w:color w:val="0C0C0C"/>
          <w:kern w:val="0"/>
          <w:szCs w:val="28"/>
          <w:lang w:bidi="ar"/>
        </w:rPr>
        <w:t>生态环境治理由“治标”向“治本”推进。“十三五”以来随着污染防治攻坚战的深入推进、“治标”措施红利的逐步释放，需要加快生态环境治理从“治标”转向“治本”。三是新旧环境问题交织。长期存在的大气污染、黑臭水体、土壤污染等环境问题尚未完全消除，</w:t>
      </w:r>
      <w:r>
        <w:rPr>
          <w:rFonts w:hint="eastAsia" w:ascii="仿宋" w:hAnsi="仿宋" w:cs="仿宋"/>
          <w:color w:val="000000"/>
          <w:kern w:val="0"/>
          <w:szCs w:val="28"/>
          <w:lang w:bidi="ar"/>
        </w:rPr>
        <w:t>新技术、新业态发展带来新型生态环境问题，</w:t>
      </w:r>
      <w:r>
        <w:rPr>
          <w:color w:val="0C0C0C"/>
          <w:kern w:val="0"/>
          <w:szCs w:val="28"/>
          <w:lang w:bidi="ar"/>
        </w:rPr>
        <w:t>VOC</w:t>
      </w:r>
      <w:r>
        <w:rPr>
          <w:rFonts w:hint="eastAsia" w:ascii="仿宋" w:hAnsi="仿宋" w:cs="仿宋"/>
          <w:color w:val="0C0C0C"/>
          <w:kern w:val="0"/>
          <w:szCs w:val="28"/>
          <w:lang w:bidi="ar"/>
        </w:rPr>
        <w:t>污染、固体废物处置、农业面源污染等环境问题也日益凸显</w:t>
      </w:r>
      <w:r>
        <w:rPr>
          <w:rFonts w:hint="eastAsia" w:ascii="仿宋" w:hAnsi="仿宋" w:cs="仿宋"/>
          <w:color w:val="000000"/>
          <w:kern w:val="0"/>
          <w:szCs w:val="28"/>
          <w:lang w:bidi="ar"/>
        </w:rPr>
        <w:t>。</w:t>
      </w:r>
    </w:p>
    <w:p w14:paraId="4B1033BB">
      <w:pPr>
        <w:widowControl/>
        <w:spacing w:line="420" w:lineRule="auto"/>
        <w:ind w:firstLine="560"/>
        <w:jc w:val="left"/>
        <w:rPr>
          <w:rFonts w:ascii="仿宋" w:hAnsi="仿宋" w:cs="仿宋"/>
          <w:szCs w:val="28"/>
        </w:rPr>
      </w:pPr>
      <w:r>
        <w:rPr>
          <w:rFonts w:hint="eastAsia" w:ascii="仿宋" w:hAnsi="仿宋" w:cs="仿宋"/>
          <w:color w:val="000000"/>
          <w:kern w:val="0"/>
          <w:szCs w:val="28"/>
          <w:lang w:bidi="ar"/>
        </w:rPr>
        <w:t xml:space="preserve"> </w:t>
      </w:r>
      <w:r>
        <w:rPr>
          <w:rFonts w:hint="eastAsia" w:ascii="仿宋" w:hAnsi="仿宋" w:cs="仿宋"/>
          <w:b/>
          <w:bCs/>
          <w:color w:val="000000"/>
          <w:kern w:val="0"/>
          <w:szCs w:val="28"/>
          <w:lang w:bidi="ar"/>
        </w:rPr>
        <w:t>（</w:t>
      </w:r>
      <w:r>
        <w:rPr>
          <w:rFonts w:hint="eastAsia"/>
          <w:b/>
          <w:bCs/>
          <w:color w:val="0C0C0C"/>
          <w:kern w:val="0"/>
          <w:szCs w:val="28"/>
          <w:lang w:bidi="ar"/>
        </w:rPr>
        <w:t>二）</w:t>
      </w:r>
      <w:r>
        <w:rPr>
          <w:rFonts w:hint="eastAsia" w:ascii="仿宋" w:hAnsi="仿宋" w:cs="仿宋"/>
          <w:b/>
          <w:bCs/>
          <w:color w:val="0C0C0C"/>
          <w:kern w:val="0"/>
          <w:szCs w:val="28"/>
          <w:lang w:bidi="ar"/>
        </w:rPr>
        <w:t>水资源约束瓶颈依然突出</w:t>
      </w:r>
    </w:p>
    <w:p w14:paraId="04E589D0">
      <w:pPr>
        <w:widowControl/>
        <w:spacing w:line="420" w:lineRule="auto"/>
        <w:ind w:firstLine="560"/>
        <w:jc w:val="left"/>
        <w:rPr>
          <w:rFonts w:ascii="仿宋" w:hAnsi="仿宋" w:cs="仿宋"/>
          <w:szCs w:val="28"/>
        </w:rPr>
      </w:pPr>
      <w:r>
        <w:rPr>
          <w:rFonts w:hint="eastAsia" w:ascii="仿宋" w:hAnsi="仿宋" w:cs="仿宋"/>
          <w:color w:val="0C0C0C"/>
          <w:kern w:val="0"/>
          <w:szCs w:val="28"/>
          <w:lang w:bidi="ar"/>
        </w:rPr>
        <w:t>砀山县多年平均水资源总量低于全省平均水平，人均水资源量小于国际公认的</w:t>
      </w:r>
      <w:r>
        <w:rPr>
          <w:color w:val="0C0C0C"/>
          <w:kern w:val="0"/>
          <w:szCs w:val="28"/>
          <w:lang w:bidi="ar"/>
        </w:rPr>
        <w:t>500m³</w:t>
      </w:r>
      <w:r>
        <w:rPr>
          <w:rFonts w:hint="eastAsia" w:ascii="仿宋" w:hAnsi="仿宋" w:cs="仿宋"/>
          <w:color w:val="0C0C0C"/>
          <w:kern w:val="0"/>
          <w:szCs w:val="28"/>
          <w:lang w:bidi="ar"/>
        </w:rPr>
        <w:t xml:space="preserve">的极度缺水线。砀山县作为皖北承接产业转移集聚先行区、长三角优质农产品生产加工供应基地，水资源需求量大，水资源供需矛盾突出。经济社会发展对地下水资源开发利用的依赖强烈，长期超采导致多个区域不同程度出现地下水漏斗。河道径流季节性断流、水资源短缺及耗水型产业发展、水污染治理投入不足、水资源利用效率不高等，进一步加剧了水资源对区域经济社会发展的瓶颈约束。 </w:t>
      </w:r>
    </w:p>
    <w:p w14:paraId="50D0E42B">
      <w:pPr>
        <w:widowControl/>
        <w:spacing w:line="420" w:lineRule="auto"/>
        <w:ind w:firstLine="560"/>
        <w:jc w:val="left"/>
        <w:outlineLvl w:val="3"/>
        <w:rPr>
          <w:rFonts w:ascii="仿宋" w:hAnsi="仿宋" w:cs="仿宋"/>
          <w:szCs w:val="28"/>
        </w:rPr>
      </w:pPr>
      <w:r>
        <w:rPr>
          <w:rFonts w:hint="eastAsia"/>
          <w:b/>
          <w:bCs/>
          <w:color w:val="0C0C0C"/>
          <w:kern w:val="0"/>
          <w:szCs w:val="28"/>
          <w:lang w:bidi="ar"/>
        </w:rPr>
        <w:t>（三）</w:t>
      </w:r>
      <w:r>
        <w:rPr>
          <w:rFonts w:hint="eastAsia" w:ascii="仿宋" w:hAnsi="仿宋" w:cs="仿宋"/>
          <w:b/>
          <w:bCs/>
          <w:color w:val="0C0C0C"/>
          <w:kern w:val="0"/>
          <w:szCs w:val="28"/>
          <w:lang w:bidi="ar"/>
        </w:rPr>
        <w:t xml:space="preserve">结构性、区域性问题仍然存在 </w:t>
      </w:r>
    </w:p>
    <w:p w14:paraId="1BB134E7">
      <w:pPr>
        <w:widowControl/>
        <w:spacing w:line="420" w:lineRule="auto"/>
        <w:ind w:firstLine="560"/>
        <w:jc w:val="left"/>
        <w:rPr>
          <w:rFonts w:ascii="仿宋" w:hAnsi="仿宋" w:cs="仿宋"/>
          <w:szCs w:val="28"/>
        </w:rPr>
      </w:pPr>
      <w:r>
        <w:rPr>
          <w:rFonts w:hint="eastAsia" w:ascii="仿宋" w:hAnsi="仿宋" w:cs="仿宋"/>
          <w:color w:val="0C0C0C"/>
          <w:kern w:val="0"/>
          <w:szCs w:val="28"/>
          <w:lang w:bidi="ar"/>
        </w:rPr>
        <w:t xml:space="preserve">砀山县正处于工业化、城镇化的加快发展期，能源结构、产业结构、交通运输结构等结构性问题仍然突出，对生态环境质量持续改善的制约较为强烈。以煤炭为主的能源结构对区域性环境质量形成很大压力。农业发展的化肥农药减量规范使用任重道远，农业面源污染问题突出，秸秆焚烧及倾倒沟渠现象仍然存在。人口集聚、城市扩张和资源型工业发展带来的环境问题日益突出。 </w:t>
      </w:r>
    </w:p>
    <w:p w14:paraId="27839F32">
      <w:pPr>
        <w:widowControl/>
        <w:spacing w:line="420" w:lineRule="auto"/>
        <w:ind w:firstLine="560"/>
        <w:jc w:val="left"/>
        <w:outlineLvl w:val="3"/>
        <w:rPr>
          <w:rFonts w:ascii="仿宋" w:hAnsi="仿宋" w:cs="仿宋"/>
          <w:szCs w:val="28"/>
        </w:rPr>
      </w:pPr>
      <w:r>
        <w:rPr>
          <w:rFonts w:hint="eastAsia"/>
          <w:b/>
          <w:bCs/>
          <w:color w:val="0C0C0C"/>
          <w:kern w:val="0"/>
          <w:szCs w:val="28"/>
          <w:lang w:bidi="ar"/>
        </w:rPr>
        <w:t>（四）</w:t>
      </w:r>
      <w:r>
        <w:rPr>
          <w:rFonts w:hint="eastAsia" w:ascii="仿宋" w:hAnsi="仿宋" w:cs="仿宋"/>
          <w:b/>
          <w:bCs/>
          <w:color w:val="0C0C0C"/>
          <w:kern w:val="0"/>
          <w:szCs w:val="28"/>
          <w:lang w:bidi="ar"/>
        </w:rPr>
        <w:t xml:space="preserve">生态环境保护体制机制仍需完善 </w:t>
      </w:r>
    </w:p>
    <w:p w14:paraId="6A72457B">
      <w:pPr>
        <w:widowControl/>
        <w:spacing w:line="420" w:lineRule="auto"/>
        <w:ind w:firstLine="560"/>
        <w:jc w:val="left"/>
        <w:rPr>
          <w:rFonts w:ascii="仿宋" w:hAnsi="仿宋" w:cs="仿宋"/>
          <w:szCs w:val="28"/>
        </w:rPr>
      </w:pPr>
      <w:r>
        <w:rPr>
          <w:rFonts w:hint="eastAsia" w:ascii="仿宋" w:hAnsi="仿宋" w:cs="仿宋"/>
          <w:color w:val="0C0C0C"/>
          <w:kern w:val="0"/>
          <w:szCs w:val="28"/>
          <w:lang w:bidi="ar"/>
        </w:rPr>
        <w:t>随着生态环境保护持续、深入推进，全社会齐抓共管的格局初步形成。生态文明各项改革还需落地生根、协同增效，改革措施的系统性、整体性、协同性尚未充分有效发挥，绿色发展的激励约束机制还不健全，相关责任主体内生动力尚未有效激发。一些地方、一些部门压力传导、责任落实不到位，对生态环境保护的重视程度和推进力度还不强；部分企业存在主体责任履行不到位、法律意识淡薄、社会责任缺失等问题，违法违规行为仍有发生。生态环境治理的经济和法治等手段运用不足，市场化机制需要进一步建立和完善。</w:t>
      </w:r>
    </w:p>
    <w:p w14:paraId="00048BB6">
      <w:pPr>
        <w:widowControl/>
        <w:spacing w:line="420" w:lineRule="auto"/>
        <w:ind w:firstLine="560"/>
        <w:jc w:val="left"/>
        <w:outlineLvl w:val="3"/>
        <w:rPr>
          <w:rFonts w:ascii="仿宋" w:hAnsi="仿宋" w:cs="仿宋"/>
          <w:b/>
          <w:bCs/>
          <w:color w:val="0C0C0C"/>
          <w:kern w:val="0"/>
          <w:szCs w:val="28"/>
          <w:lang w:bidi="ar"/>
        </w:rPr>
      </w:pPr>
      <w:r>
        <w:rPr>
          <w:rFonts w:hint="eastAsia"/>
          <w:b/>
          <w:bCs/>
          <w:color w:val="0C0C0C"/>
          <w:kern w:val="0"/>
          <w:szCs w:val="28"/>
          <w:lang w:bidi="ar"/>
        </w:rPr>
        <w:t>（五）</w:t>
      </w:r>
      <w:r>
        <w:rPr>
          <w:rFonts w:hint="eastAsia" w:ascii="仿宋" w:hAnsi="仿宋" w:cs="仿宋"/>
          <w:b/>
          <w:bCs/>
          <w:color w:val="0C0C0C"/>
          <w:kern w:val="0"/>
          <w:szCs w:val="28"/>
          <w:lang w:bidi="ar"/>
        </w:rPr>
        <w:t>应对气候变化面临新的挑战</w:t>
      </w:r>
    </w:p>
    <w:p w14:paraId="70188D94">
      <w:pPr>
        <w:widowControl/>
        <w:spacing w:line="420" w:lineRule="auto"/>
        <w:ind w:firstLine="560"/>
        <w:jc w:val="left"/>
        <w:rPr>
          <w:rFonts w:ascii="仿宋" w:hAnsi="仿宋" w:cs="仿宋"/>
          <w:color w:val="0C0C0C"/>
          <w:kern w:val="0"/>
          <w:szCs w:val="28"/>
          <w:lang w:bidi="ar"/>
        </w:rPr>
      </w:pPr>
      <w:r>
        <w:rPr>
          <w:rFonts w:hint="eastAsia" w:ascii="仿宋" w:hAnsi="仿宋" w:cs="仿宋"/>
          <w:color w:val="0C0C0C"/>
          <w:kern w:val="0"/>
          <w:szCs w:val="28"/>
          <w:lang w:bidi="ar"/>
        </w:rPr>
        <w:t>为深入贯彻习近平总书记在第</w:t>
      </w:r>
      <w:r>
        <w:rPr>
          <w:color w:val="0C0C0C"/>
          <w:kern w:val="0"/>
          <w:szCs w:val="28"/>
          <w:lang w:bidi="ar"/>
        </w:rPr>
        <w:t>75</w:t>
      </w:r>
      <w:r>
        <w:rPr>
          <w:rFonts w:ascii="仿宋" w:hAnsi="仿宋" w:cs="仿宋"/>
          <w:color w:val="0C0C0C"/>
          <w:kern w:val="0"/>
          <w:szCs w:val="28"/>
          <w:lang w:bidi="ar"/>
        </w:rPr>
        <w:t>届联合国大会一般性辩论讲话精神，在</w:t>
      </w:r>
      <w:r>
        <w:rPr>
          <w:color w:val="0C0C0C"/>
          <w:kern w:val="0"/>
          <w:szCs w:val="28"/>
          <w:lang w:bidi="ar"/>
        </w:rPr>
        <w:t>2030</w:t>
      </w:r>
      <w:r>
        <w:rPr>
          <w:rFonts w:ascii="仿宋" w:hAnsi="仿宋" w:cs="仿宋"/>
          <w:color w:val="0C0C0C"/>
          <w:kern w:val="0"/>
          <w:szCs w:val="28"/>
          <w:lang w:bidi="ar"/>
        </w:rPr>
        <w:t>年前实现二氧化碳排放达峰，协同推进应对气候变化与环境治理成为我县“十四五”时期的重要命题</w:t>
      </w:r>
      <w:r>
        <w:rPr>
          <w:rFonts w:hint="eastAsia" w:ascii="仿宋" w:hAnsi="仿宋" w:cs="仿宋"/>
          <w:color w:val="0C0C0C"/>
          <w:kern w:val="0"/>
          <w:szCs w:val="28"/>
          <w:lang w:bidi="ar"/>
        </w:rPr>
        <w:t>，</w:t>
      </w:r>
      <w:r>
        <w:rPr>
          <w:rFonts w:ascii="仿宋" w:hAnsi="仿宋" w:cs="仿宋"/>
          <w:color w:val="0C0C0C"/>
          <w:kern w:val="0"/>
          <w:szCs w:val="28"/>
          <w:lang w:bidi="ar"/>
        </w:rPr>
        <w:t>解决全球气候变暖问题越来越迫在眉睫</w:t>
      </w:r>
      <w:r>
        <w:rPr>
          <w:rFonts w:hint="eastAsia" w:ascii="仿宋" w:hAnsi="仿宋" w:cs="仿宋"/>
          <w:color w:val="0C0C0C"/>
          <w:kern w:val="0"/>
          <w:szCs w:val="28"/>
          <w:lang w:bidi="ar"/>
        </w:rPr>
        <w:t>。在疫情冲击、经济下行压力加大的背景下，推进经济社会发展绿色转型、全面实现“四高”目标之路任重而道远。</w:t>
      </w:r>
    </w:p>
    <w:p w14:paraId="64AEFE9F">
      <w:pPr>
        <w:widowControl/>
        <w:spacing w:line="420" w:lineRule="auto"/>
        <w:ind w:firstLine="560"/>
        <w:jc w:val="left"/>
        <w:outlineLvl w:val="3"/>
        <w:rPr>
          <w:rFonts w:ascii="仿宋" w:hAnsi="仿宋" w:cs="仿宋"/>
          <w:b/>
          <w:bCs/>
          <w:color w:val="0C0C0C"/>
          <w:kern w:val="0"/>
          <w:szCs w:val="28"/>
          <w:lang w:bidi="ar"/>
        </w:rPr>
      </w:pPr>
      <w:r>
        <w:rPr>
          <w:rFonts w:hint="eastAsia"/>
          <w:b/>
          <w:bCs/>
          <w:color w:val="0C0C0C"/>
          <w:kern w:val="0"/>
          <w:szCs w:val="28"/>
          <w:lang w:bidi="ar"/>
        </w:rPr>
        <w:t>（六）</w:t>
      </w:r>
      <w:r>
        <w:rPr>
          <w:rFonts w:hint="eastAsia" w:ascii="仿宋" w:hAnsi="仿宋" w:cs="仿宋"/>
          <w:b/>
          <w:bCs/>
          <w:color w:val="0C0C0C"/>
          <w:kern w:val="0"/>
          <w:szCs w:val="28"/>
          <w:lang w:bidi="ar"/>
        </w:rPr>
        <w:t>环境风险防控面临多元化挑战</w:t>
      </w:r>
    </w:p>
    <w:p w14:paraId="0A2415A6">
      <w:pPr>
        <w:widowControl/>
        <w:spacing w:line="420" w:lineRule="auto"/>
        <w:ind w:firstLine="560"/>
        <w:jc w:val="left"/>
        <w:rPr>
          <w:rFonts w:ascii="仿宋" w:hAnsi="仿宋" w:cs="仿宋"/>
          <w:color w:val="0C0C0C"/>
          <w:kern w:val="0"/>
          <w:szCs w:val="28"/>
          <w:lang w:bidi="ar"/>
        </w:rPr>
      </w:pPr>
      <w:r>
        <w:rPr>
          <w:rFonts w:hint="eastAsia" w:ascii="仿宋" w:hAnsi="仿宋" w:cs="仿宋"/>
          <w:color w:val="0C0C0C"/>
          <w:kern w:val="0"/>
          <w:szCs w:val="28"/>
          <w:lang w:bidi="ar"/>
        </w:rPr>
        <w:t>“十四五”时期，我国仍处于经济增速换挡期、机构调整阵痛期以及城市化、社会转型等叠加阶段。这一阶段也是社会经济发展与生态环境保护的胶着期，生态环境风险形势更加复杂和难以预测，环境风险已成为威胁公众健康、公共安全和社会稳定的重要因素，也成为我县生态文明建设面临的巨大瓶颈性考验。在促进生态环境管理模式由以环境质量为核心目标向以风险防范为目标的过渡和转变中，新时期我县环境风险防控面临着多元化的挑战。</w:t>
      </w:r>
      <w:bookmarkStart w:id="10" w:name="_Toc4129"/>
    </w:p>
    <w:p w14:paraId="6A40165C">
      <w:pPr>
        <w:widowControl/>
        <w:spacing w:line="420" w:lineRule="auto"/>
        <w:ind w:firstLine="560"/>
        <w:jc w:val="left"/>
        <w:outlineLvl w:val="3"/>
        <w:rPr>
          <w:b/>
          <w:bCs/>
          <w:color w:val="0C0C0C"/>
          <w:kern w:val="0"/>
          <w:szCs w:val="28"/>
          <w:lang w:bidi="ar"/>
        </w:rPr>
      </w:pPr>
      <w:r>
        <w:rPr>
          <w:rFonts w:hint="eastAsia"/>
          <w:b/>
          <w:bCs/>
          <w:color w:val="0C0C0C"/>
          <w:kern w:val="0"/>
          <w:szCs w:val="28"/>
          <w:lang w:bidi="ar"/>
        </w:rPr>
        <w:t>二、存在的机遇</w:t>
      </w:r>
    </w:p>
    <w:p w14:paraId="4E7536CE">
      <w:pPr>
        <w:widowControl/>
        <w:spacing w:line="420" w:lineRule="auto"/>
        <w:ind w:firstLine="560"/>
        <w:jc w:val="left"/>
        <w:rPr>
          <w:color w:val="0C0C0C"/>
          <w:kern w:val="0"/>
          <w:szCs w:val="28"/>
          <w:lang w:bidi="ar"/>
        </w:rPr>
      </w:pPr>
      <w:r>
        <w:rPr>
          <w:rFonts w:hint="eastAsia"/>
          <w:color w:val="0C0C0C"/>
          <w:kern w:val="0"/>
          <w:szCs w:val="28"/>
          <w:lang w:bidi="ar"/>
        </w:rPr>
        <w:t>深入打好污染防治攻坚战是十九届五中全会作出的重大战略部署。“十三五”期间县委、县政府高度重视生态环境保护工作，认真落实党政主体责任，严格实行生态环境保护党政同责、一岗双责，绿水青山就是金山银山理念深入人心，全社会齐抓共管的格局基本形成，为“十四五”时期加快构建现代环境治理体系、推进生态环境治理体系和治理能力现代化奠定了基础。“十三五”期间，全县生态环境质量总体改善，污染防治攻坚战取得显著成效，为“十四五”时期全面加强生态环境保护、深入打好污染防治攻坚战，探索积累了成功做法和宝贵经验。</w:t>
      </w:r>
    </w:p>
    <w:p w14:paraId="37B4C46B">
      <w:pPr>
        <w:keepNext/>
        <w:spacing w:line="420" w:lineRule="auto"/>
        <w:ind w:firstLine="560"/>
        <w:jc w:val="left"/>
        <w:rPr>
          <w:color w:val="0C0C0C"/>
          <w:kern w:val="0"/>
          <w:szCs w:val="28"/>
          <w:lang w:bidi="ar"/>
        </w:rPr>
      </w:pPr>
      <w:r>
        <w:rPr>
          <w:rFonts w:hint="eastAsia"/>
          <w:color w:val="0C0C0C"/>
          <w:kern w:val="0"/>
          <w:szCs w:val="28"/>
          <w:lang w:bidi="ar"/>
        </w:rPr>
        <w:t>党的十九届五中全会对“十四五”国民经济和社会发展规划作出重大战略部署，核心要义集中体现在把握新发展阶段、贯彻新发展理念、构建新发展格局。加快构建以国内大循环为主体、国内国际双循环相互促进的新发展格局，将释放巨大的产业升级、投资和国内消费需求，有利于砀山县深度融入强大国内市场。长三角一体化发展、中部崛起、淮河生态经济带建设、皖北振兴等重大战略叠加发力，将推动砀山县独特的区位优势和战略地位演变为发展优势，为砀山县协同推进经济高质量发展和生态环境高水平保护、强化生态环境联防联控等提供了重大机遇。</w:t>
      </w:r>
    </w:p>
    <w:p w14:paraId="18A3C197">
      <w:pPr>
        <w:ind w:firstLine="560"/>
      </w:pPr>
      <w:r>
        <w:rPr>
          <w:rFonts w:hint="eastAsia"/>
        </w:rPr>
        <w:t>“</w:t>
      </w:r>
      <w:r>
        <w:t>十四五</w:t>
      </w:r>
      <w:r>
        <w:rPr>
          <w:rFonts w:hint="eastAsia"/>
        </w:rPr>
        <w:t>”</w:t>
      </w:r>
      <w:r>
        <w:t>期间，</w:t>
      </w:r>
      <w:r>
        <w:rPr>
          <w:rFonts w:hint="eastAsia"/>
        </w:rPr>
        <w:t>“</w:t>
      </w:r>
      <w:r>
        <w:t>绿水青山就是金山银山</w:t>
      </w:r>
      <w:r>
        <w:rPr>
          <w:rFonts w:hint="eastAsia"/>
        </w:rPr>
        <w:t>”</w:t>
      </w:r>
      <w:r>
        <w:t>的发展理念将不断深化，探索实践不断加强，转型发展、绿色发展、创新发展将成为我</w:t>
      </w:r>
      <w:r>
        <w:rPr>
          <w:rFonts w:hint="eastAsia"/>
        </w:rPr>
        <w:t>县</w:t>
      </w:r>
      <w:r>
        <w:t>经济发展的主旋律，环境标准引领、环境政策引导等将成为绿色发展的重要力量。</w:t>
      </w:r>
    </w:p>
    <w:p w14:paraId="589C11D2">
      <w:pPr>
        <w:pStyle w:val="2"/>
      </w:pPr>
      <w:bookmarkStart w:id="11" w:name="_Toc20285"/>
      <w:r>
        <w:rPr>
          <w:rFonts w:hint="eastAsia"/>
        </w:rPr>
        <w:t>第二章 指导思想、基本原则、规划目标</w:t>
      </w:r>
      <w:bookmarkEnd w:id="10"/>
      <w:bookmarkEnd w:id="11"/>
    </w:p>
    <w:p w14:paraId="5509DF50">
      <w:pPr>
        <w:pStyle w:val="3"/>
      </w:pPr>
      <w:bookmarkStart w:id="12" w:name="_Toc26470"/>
      <w:bookmarkStart w:id="13" w:name="_Toc22271"/>
      <w:r>
        <w:rPr>
          <w:rFonts w:hint="eastAsia"/>
        </w:rPr>
        <w:t>第一节 指导思想</w:t>
      </w:r>
      <w:bookmarkEnd w:id="12"/>
      <w:bookmarkEnd w:id="13"/>
    </w:p>
    <w:p w14:paraId="658E037C">
      <w:pPr>
        <w:widowControl/>
        <w:spacing w:line="420" w:lineRule="auto"/>
        <w:ind w:firstLine="560"/>
        <w:jc w:val="left"/>
      </w:pPr>
      <w:r>
        <w:rPr>
          <w:rFonts w:hint="eastAsia" w:ascii="仿宋" w:hAnsi="仿宋" w:cs="仿宋"/>
          <w:color w:val="0C0C0C"/>
          <w:kern w:val="0"/>
          <w:szCs w:val="28"/>
          <w:lang w:bidi="ar"/>
        </w:rPr>
        <w:t>以习近平新时代中国特色社会主义思想为指导，全面贯彻党的十九大和十九届二中、三中、四中、五中全会精神，深入贯彻习近平生态文明思想，准确把握新发展阶段、深入贯彻新发展理念、加快构建新发展格局，抢抓长三角一体化发展、淮河生态经济带建设、皖北振兴等重大战略机遇，坚持减污降碳的总要求，突出精准治污、科学治污、依法治污，深入打好污染防治攻坚战，促进经济社会发展全面绿色转型，强化生态环境共保联治，合力筑牢生态安全屏障，有效防控环境风险，持续推进生态环境治理体系和治理能力现代化，协同推进经济高质量发展与生态环境高水平保护，加快建设绿色生态发展样板区、省际毗邻区域协同发展样板区，为奋力开创新时代美好砀山现代化建设新局面奠定坚实的生态环境基础。</w:t>
      </w:r>
    </w:p>
    <w:p w14:paraId="4D5FFB07">
      <w:pPr>
        <w:pStyle w:val="3"/>
      </w:pPr>
      <w:bookmarkStart w:id="14" w:name="_Toc2395"/>
      <w:bookmarkStart w:id="15" w:name="_Toc17368"/>
      <w:r>
        <w:rPr>
          <w:rFonts w:hint="eastAsia"/>
        </w:rPr>
        <w:t>第二节 基本原则</w:t>
      </w:r>
      <w:bookmarkEnd w:id="14"/>
      <w:bookmarkEnd w:id="15"/>
    </w:p>
    <w:p w14:paraId="2A96BBEF">
      <w:pPr>
        <w:widowControl/>
        <w:spacing w:line="420" w:lineRule="auto"/>
        <w:ind w:firstLine="560"/>
        <w:outlineLvl w:val="2"/>
        <w:rPr>
          <w:b/>
          <w:bCs/>
          <w:color w:val="0C0C0C"/>
          <w:kern w:val="0"/>
          <w:szCs w:val="28"/>
          <w:lang w:bidi="ar"/>
        </w:rPr>
      </w:pPr>
      <w:r>
        <w:rPr>
          <w:rFonts w:hint="eastAsia"/>
          <w:b/>
          <w:bCs/>
          <w:color w:val="0C0C0C"/>
          <w:kern w:val="0"/>
          <w:szCs w:val="28"/>
          <w:lang w:bidi="ar"/>
        </w:rPr>
        <w:t xml:space="preserve">一、坚持生态优先、绿色发展 </w:t>
      </w:r>
    </w:p>
    <w:p w14:paraId="78FAD118">
      <w:pPr>
        <w:widowControl/>
        <w:spacing w:line="420" w:lineRule="auto"/>
        <w:ind w:firstLine="560"/>
        <w:rPr>
          <w:color w:val="0C0C0C"/>
          <w:kern w:val="0"/>
          <w:szCs w:val="28"/>
          <w:lang w:bidi="ar"/>
        </w:rPr>
      </w:pPr>
      <w:r>
        <w:rPr>
          <w:rFonts w:hint="eastAsia"/>
          <w:color w:val="0C0C0C"/>
          <w:kern w:val="0"/>
          <w:szCs w:val="28"/>
          <w:lang w:bidi="ar"/>
        </w:rPr>
        <w:t xml:space="preserve">坚持人与自然和谐共生、绿水青山就是金山银山的理念，将生态环境保护融入砀山县发展的各方面和全过程，大力升级推进绿色发展机制建设，在高质量发展中实现高水平保护、在高水平保护中促进高质量发展，加快形成绿色发展方式和生活方式。 </w:t>
      </w:r>
    </w:p>
    <w:p w14:paraId="1DE2B8AD">
      <w:pPr>
        <w:widowControl/>
        <w:spacing w:line="420" w:lineRule="auto"/>
        <w:ind w:firstLine="560"/>
        <w:jc w:val="left"/>
        <w:outlineLvl w:val="2"/>
        <w:rPr>
          <w:color w:val="0C0C0C"/>
          <w:kern w:val="0"/>
          <w:szCs w:val="28"/>
          <w:lang w:bidi="ar"/>
        </w:rPr>
      </w:pPr>
      <w:r>
        <w:rPr>
          <w:rFonts w:hint="eastAsia"/>
          <w:b/>
          <w:bCs/>
          <w:color w:val="0C0C0C"/>
          <w:kern w:val="0"/>
          <w:szCs w:val="28"/>
          <w:lang w:bidi="ar"/>
        </w:rPr>
        <w:t>二、坚持系统治理、协同增效</w:t>
      </w:r>
      <w:r>
        <w:rPr>
          <w:rFonts w:hint="eastAsia"/>
          <w:color w:val="0C0C0C"/>
          <w:kern w:val="0"/>
          <w:szCs w:val="28"/>
          <w:lang w:bidi="ar"/>
        </w:rPr>
        <w:t xml:space="preserve"> </w:t>
      </w:r>
    </w:p>
    <w:p w14:paraId="7820091F">
      <w:pPr>
        <w:widowControl/>
        <w:spacing w:line="420" w:lineRule="auto"/>
        <w:ind w:firstLine="560"/>
        <w:rPr>
          <w:color w:val="0C0C0C"/>
          <w:kern w:val="0"/>
          <w:szCs w:val="28"/>
          <w:lang w:bidi="ar"/>
        </w:rPr>
      </w:pPr>
      <w:r>
        <w:rPr>
          <w:rFonts w:hint="eastAsia"/>
          <w:color w:val="0C0C0C"/>
          <w:kern w:val="0"/>
          <w:szCs w:val="28"/>
          <w:lang w:bidi="ar"/>
        </w:rPr>
        <w:t xml:space="preserve">坚持山水林田湖草是生命共同体的系统观，生产生活方式绿色转型、资源能源节约利用、环境污染防治和生态保护修复相统筹，生态环境保护与应对气候变化相统筹，新型城镇化与美丽乡村建设相统筹，系统保护，综合施策。立足长三角生态环境协同保护和砀山县生态环境现状，共建跨区域生态环境保护机制，实施生态环境监管联动，强化生态环境共保联治，协同打赢污染防治攻坚战。 </w:t>
      </w:r>
    </w:p>
    <w:p w14:paraId="16AB2D46">
      <w:pPr>
        <w:keepNext/>
        <w:spacing w:line="420" w:lineRule="auto"/>
        <w:ind w:firstLine="560"/>
        <w:jc w:val="left"/>
        <w:outlineLvl w:val="2"/>
        <w:rPr>
          <w:b/>
          <w:bCs/>
          <w:color w:val="0C0C0C"/>
          <w:kern w:val="0"/>
          <w:szCs w:val="28"/>
          <w:lang w:bidi="ar"/>
        </w:rPr>
      </w:pPr>
      <w:r>
        <w:rPr>
          <w:rFonts w:hint="eastAsia"/>
          <w:b/>
          <w:bCs/>
          <w:color w:val="0C0C0C"/>
          <w:kern w:val="0"/>
          <w:szCs w:val="28"/>
          <w:lang w:bidi="ar"/>
        </w:rPr>
        <w:t>三、坚持深化改革、继承创新</w:t>
      </w:r>
    </w:p>
    <w:p w14:paraId="777B51B7">
      <w:pPr>
        <w:widowControl/>
        <w:spacing w:line="420" w:lineRule="auto"/>
        <w:ind w:firstLine="560"/>
        <w:jc w:val="left"/>
        <w:rPr>
          <w:color w:val="0C0C0C"/>
          <w:kern w:val="0"/>
          <w:szCs w:val="28"/>
          <w:lang w:bidi="ar"/>
        </w:rPr>
      </w:pPr>
      <w:r>
        <w:rPr>
          <w:rFonts w:hint="eastAsia"/>
          <w:color w:val="0C0C0C"/>
          <w:kern w:val="0"/>
          <w:szCs w:val="28"/>
          <w:lang w:bidi="ar"/>
        </w:rPr>
        <w:t xml:space="preserve">深入贯彻十九届五中全会精神，认真落实生态环境保护、生态文明建设顶层设计和制度体系，创新跨区域生态保护与环境治理，加快构建现代环境治理体系。总结、借鉴、继承砀山县以往特别是“十三五”期间生态环境保护的有效做法和成功经验，充分利用生态环境保护机构改革和生态环境保护综合行政执法改革成果，推进砀山县生态环境治理体系和治理能力现代化。 </w:t>
      </w:r>
    </w:p>
    <w:p w14:paraId="4269A449">
      <w:pPr>
        <w:widowControl/>
        <w:spacing w:line="420" w:lineRule="auto"/>
        <w:ind w:firstLine="560"/>
        <w:jc w:val="left"/>
        <w:outlineLvl w:val="2"/>
        <w:rPr>
          <w:color w:val="0C0C0C"/>
          <w:kern w:val="0"/>
          <w:szCs w:val="28"/>
          <w:lang w:bidi="ar"/>
        </w:rPr>
      </w:pPr>
      <w:r>
        <w:rPr>
          <w:rFonts w:hint="eastAsia"/>
          <w:b/>
          <w:bCs/>
          <w:color w:val="0C0C0C"/>
          <w:kern w:val="0"/>
          <w:szCs w:val="28"/>
          <w:lang w:bidi="ar"/>
        </w:rPr>
        <w:t>四、坚持政府主导、共享共治</w:t>
      </w:r>
      <w:r>
        <w:rPr>
          <w:rFonts w:hint="eastAsia"/>
          <w:color w:val="0C0C0C"/>
          <w:kern w:val="0"/>
          <w:szCs w:val="28"/>
          <w:lang w:bidi="ar"/>
        </w:rPr>
        <w:t xml:space="preserve"> </w:t>
      </w:r>
    </w:p>
    <w:p w14:paraId="0452AD5A">
      <w:pPr>
        <w:widowControl/>
        <w:spacing w:line="420" w:lineRule="auto"/>
        <w:ind w:firstLine="560"/>
        <w:rPr>
          <w:color w:val="0C0C0C"/>
          <w:kern w:val="0"/>
          <w:szCs w:val="28"/>
          <w:lang w:bidi="ar"/>
        </w:rPr>
      </w:pPr>
      <w:r>
        <w:rPr>
          <w:rFonts w:hint="eastAsia"/>
          <w:color w:val="0C0C0C"/>
          <w:kern w:val="0"/>
          <w:szCs w:val="28"/>
          <w:lang w:bidi="ar"/>
        </w:rPr>
        <w:t>坚持生态环境保护“党政同责”、“一岗双责”，严格落实县、镇（街道）生态环境保护责任，各部门守土有责、守土尽责，分工协作、共同发力。加快构建党委领导、政府主导、企业主体、社会组织和公众参与的现代环境治理体系，打造齐抓共管的生态环境保护大格局，着力解决砀山县突出生态环境问题。</w:t>
      </w:r>
    </w:p>
    <w:p w14:paraId="7B928F54">
      <w:pPr>
        <w:pStyle w:val="21"/>
        <w:ind w:firstLine="620"/>
      </w:pPr>
    </w:p>
    <w:p w14:paraId="06A8C457">
      <w:pPr>
        <w:pStyle w:val="3"/>
      </w:pPr>
      <w:bookmarkStart w:id="16" w:name="_Toc18895"/>
      <w:bookmarkStart w:id="17" w:name="_Toc23508"/>
      <w:r>
        <w:rPr>
          <w:rFonts w:hint="eastAsia"/>
        </w:rPr>
        <w:t>第三节 规划目标</w:t>
      </w:r>
      <w:bookmarkEnd w:id="16"/>
      <w:bookmarkEnd w:id="17"/>
    </w:p>
    <w:p w14:paraId="2A350E3C">
      <w:pPr>
        <w:spacing w:line="420" w:lineRule="auto"/>
        <w:ind w:left="560" w:leftChars="200" w:firstLine="0" w:firstLineChars="0"/>
        <w:outlineLvl w:val="2"/>
        <w:rPr>
          <w:b/>
          <w:bCs/>
          <w:sz w:val="30"/>
          <w:szCs w:val="30"/>
        </w:rPr>
      </w:pPr>
      <w:bookmarkStart w:id="18" w:name="_Toc2713"/>
      <w:r>
        <w:rPr>
          <w:rFonts w:hint="eastAsia"/>
          <w:b/>
          <w:bCs/>
          <w:sz w:val="30"/>
          <w:szCs w:val="30"/>
        </w:rPr>
        <w:t>一、总体目标</w:t>
      </w:r>
      <w:bookmarkEnd w:id="18"/>
      <w:bookmarkStart w:id="19" w:name="_Toc31671"/>
    </w:p>
    <w:p w14:paraId="5BAA062B">
      <w:pPr>
        <w:widowControl/>
        <w:spacing w:line="420" w:lineRule="auto"/>
        <w:ind w:firstLine="560"/>
        <w:rPr>
          <w:color w:val="0C0C0C"/>
          <w:kern w:val="0"/>
          <w:szCs w:val="28"/>
          <w:lang w:bidi="ar"/>
        </w:rPr>
      </w:pPr>
      <w:r>
        <w:rPr>
          <w:rFonts w:hint="eastAsia"/>
          <w:color w:val="0C0C0C"/>
          <w:kern w:val="0"/>
          <w:szCs w:val="28"/>
          <w:lang w:bidi="ar"/>
        </w:rPr>
        <w:t xml:space="preserve">展望2025年，广泛形成绿色生产生活方式，生态环境根本好转。节约资源和保护环境的空间格局、产业结构、生产方式、生活方式总体形成，绿色低碳发展和应对气候变化能力显著增强；空气质量根本改善，水环境质量全面提升，水生态恢复取得明显成效，土壤环境安全得到有效保障，环境风险得到全面管控，生态系统稳定性和服务功能总体恢复，基本满足人民对优美生态环境的需要；生态环境治理体系和治理能力现代化基本实现。 </w:t>
      </w:r>
    </w:p>
    <w:p w14:paraId="72B1700B">
      <w:pPr>
        <w:widowControl/>
        <w:spacing w:line="420" w:lineRule="auto"/>
        <w:ind w:firstLine="560"/>
        <w:rPr>
          <w:color w:val="0C0C0C"/>
          <w:kern w:val="0"/>
          <w:szCs w:val="28"/>
          <w:lang w:bidi="ar"/>
        </w:rPr>
      </w:pPr>
      <w:r>
        <w:rPr>
          <w:rFonts w:hint="eastAsia"/>
          <w:color w:val="0C0C0C"/>
          <w:kern w:val="0"/>
          <w:szCs w:val="28"/>
          <w:lang w:bidi="ar"/>
        </w:rPr>
        <w:t xml:space="preserve">“十四五”时期，全县生态文明建设实现新进步，美丽砀山建设取得明显进展，生态环境保护主要目标： </w:t>
      </w:r>
    </w:p>
    <w:p w14:paraId="4A282991">
      <w:pPr>
        <w:widowControl/>
        <w:spacing w:line="420" w:lineRule="auto"/>
        <w:ind w:firstLine="560"/>
        <w:rPr>
          <w:color w:val="0C0C0C"/>
          <w:kern w:val="0"/>
          <w:szCs w:val="28"/>
          <w:lang w:bidi="ar"/>
        </w:rPr>
      </w:pPr>
      <w:r>
        <w:rPr>
          <w:rFonts w:hint="eastAsia"/>
          <w:color w:val="0C0C0C"/>
          <w:kern w:val="0"/>
          <w:szCs w:val="28"/>
          <w:lang w:bidi="ar"/>
        </w:rPr>
        <w:t xml:space="preserve">——生产生活方式绿色转型成效显著。国土空间开发保护格局得到优化，绿色低碳发展加快推进，能源资源配置更加合理、利用效率大幅提高。碳排放强度持续降低，单位国内生产总值二氧化碳排放下降率完成省、市下达任务。 </w:t>
      </w:r>
    </w:p>
    <w:p w14:paraId="284DC1F5">
      <w:pPr>
        <w:widowControl/>
        <w:spacing w:line="420" w:lineRule="auto"/>
        <w:ind w:firstLine="560"/>
        <w:rPr>
          <w:color w:val="0C0C0C"/>
          <w:kern w:val="0"/>
          <w:szCs w:val="28"/>
          <w:lang w:bidi="ar"/>
        </w:rPr>
      </w:pPr>
      <w:r>
        <w:rPr>
          <w:rFonts w:hint="eastAsia"/>
          <w:color w:val="0C0C0C"/>
          <w:kern w:val="0"/>
          <w:szCs w:val="28"/>
          <w:lang w:bidi="ar"/>
        </w:rPr>
        <w:t xml:space="preserve">——生态环境质量持续改善。空气质量全面改善，水环境质量稳步提升，水生态功能初步得到恢复，城乡人居环境明显改善。全面推进焚烧处理能力建设，基本实现原生生活垃圾“零填埋”。主要污染物排放总量持续减少，完成省、市下达任务。 </w:t>
      </w:r>
    </w:p>
    <w:p w14:paraId="7CA05CB3">
      <w:pPr>
        <w:widowControl/>
        <w:spacing w:line="420" w:lineRule="auto"/>
        <w:ind w:firstLine="560"/>
        <w:rPr>
          <w:color w:val="0C0C0C"/>
          <w:kern w:val="0"/>
          <w:szCs w:val="28"/>
          <w:lang w:bidi="ar"/>
        </w:rPr>
      </w:pPr>
      <w:r>
        <w:rPr>
          <w:rFonts w:hint="eastAsia"/>
          <w:color w:val="0C0C0C"/>
          <w:kern w:val="0"/>
          <w:szCs w:val="28"/>
          <w:lang w:bidi="ar"/>
        </w:rPr>
        <w:t>——生态系统质量和稳定性稳步提升。生态系统服务功能不断增强，生态安全屏障更加牢固，生物多样性得到有效保护，生物安全管理水平显著提升。生态环境状况指数达到良好以上。</w:t>
      </w:r>
    </w:p>
    <w:p w14:paraId="7D4C4637">
      <w:pPr>
        <w:widowControl/>
        <w:spacing w:line="420" w:lineRule="auto"/>
        <w:ind w:firstLine="560"/>
        <w:rPr>
          <w:color w:val="0C0C0C"/>
          <w:kern w:val="0"/>
          <w:szCs w:val="28"/>
          <w:lang w:bidi="ar"/>
        </w:rPr>
      </w:pPr>
      <w:r>
        <w:rPr>
          <w:rFonts w:hint="eastAsia"/>
          <w:color w:val="0C0C0C"/>
          <w:kern w:val="0"/>
          <w:szCs w:val="28"/>
          <w:lang w:bidi="ar"/>
        </w:rPr>
        <w:t xml:space="preserve">——环境安全有效保障。土壤安全利用水平巩固提升。固体废物与化学物质环境风险防控能力明显增强，核安全监管持续加强，环境风险得到有效管控。 </w:t>
      </w:r>
    </w:p>
    <w:p w14:paraId="0E92B0EA">
      <w:pPr>
        <w:widowControl/>
        <w:spacing w:line="420" w:lineRule="auto"/>
        <w:ind w:firstLine="560"/>
        <w:rPr>
          <w:color w:val="0C0C0C"/>
          <w:kern w:val="0"/>
          <w:szCs w:val="28"/>
          <w:lang w:bidi="ar"/>
        </w:rPr>
      </w:pPr>
      <w:r>
        <w:rPr>
          <w:rFonts w:hint="eastAsia"/>
          <w:color w:val="0C0C0C"/>
          <w:kern w:val="0"/>
          <w:szCs w:val="28"/>
          <w:lang w:bidi="ar"/>
        </w:rPr>
        <w:t>——现代环境治理体系建立健全。生态文明体系更加完善，生态环境治理体系和治理能力现代化进一步提升，打造国家生态文明示范区皖北样板。</w:t>
      </w:r>
    </w:p>
    <w:p w14:paraId="00D08562">
      <w:pPr>
        <w:spacing w:line="420" w:lineRule="auto"/>
        <w:ind w:left="560" w:leftChars="200" w:firstLine="0" w:firstLineChars="0"/>
        <w:outlineLvl w:val="2"/>
        <w:rPr>
          <w:b/>
          <w:bCs/>
          <w:sz w:val="30"/>
          <w:szCs w:val="30"/>
        </w:rPr>
      </w:pPr>
      <w:r>
        <w:rPr>
          <w:rFonts w:hint="eastAsia"/>
          <w:b/>
          <w:bCs/>
          <w:sz w:val="30"/>
          <w:szCs w:val="30"/>
        </w:rPr>
        <w:t>二、规划指标</w:t>
      </w:r>
      <w:bookmarkEnd w:id="19"/>
    </w:p>
    <w:p w14:paraId="2CF85813">
      <w:pPr>
        <w:spacing w:line="420" w:lineRule="auto"/>
        <w:ind w:firstLine="560"/>
        <w:rPr>
          <w:rFonts w:ascii="仿宋" w:hAnsi="仿宋"/>
        </w:rPr>
      </w:pPr>
      <w:r>
        <w:rPr>
          <w:rFonts w:ascii="仿宋" w:hAnsi="仿宋"/>
          <w:color w:val="000000"/>
        </w:rPr>
        <w:t>按照生态优先、绿色发展的基本原则，基于</w:t>
      </w:r>
      <w:r>
        <w:rPr>
          <w:rFonts w:hint="eastAsia" w:eastAsia="宋体"/>
          <w:color w:val="000000"/>
        </w:rPr>
        <w:t>“</w:t>
      </w:r>
      <w:r>
        <w:rPr>
          <w:rFonts w:ascii="仿宋" w:hAnsi="仿宋"/>
          <w:color w:val="000000"/>
        </w:rPr>
        <w:t>十三五</w:t>
      </w:r>
      <w:r>
        <w:rPr>
          <w:rFonts w:hint="eastAsia" w:eastAsia="宋体"/>
          <w:color w:val="000000"/>
        </w:rPr>
        <w:t>”</w:t>
      </w:r>
      <w:r>
        <w:rPr>
          <w:rFonts w:ascii="仿宋" w:hAnsi="仿宋"/>
          <w:color w:val="000000"/>
        </w:rPr>
        <w:t>时期</w:t>
      </w:r>
      <w:r>
        <w:rPr>
          <w:rFonts w:hint="eastAsia" w:ascii="仿宋" w:hAnsi="仿宋"/>
          <w:color w:val="000000"/>
        </w:rPr>
        <w:t>砀山县</w:t>
      </w:r>
      <w:r>
        <w:rPr>
          <w:rFonts w:ascii="仿宋" w:hAnsi="仿宋"/>
          <w:color w:val="000000"/>
        </w:rPr>
        <w:t>生态环境保护工作基础，结合国家</w:t>
      </w:r>
      <w:r>
        <w:rPr>
          <w:rFonts w:hint="eastAsia" w:eastAsia="宋体"/>
          <w:color w:val="000000"/>
        </w:rPr>
        <w:t>“</w:t>
      </w:r>
      <w:r>
        <w:rPr>
          <w:rFonts w:ascii="仿宋" w:hAnsi="仿宋"/>
          <w:color w:val="000000"/>
        </w:rPr>
        <w:t>十四五</w:t>
      </w:r>
      <w:r>
        <w:rPr>
          <w:rFonts w:hint="eastAsia" w:eastAsia="宋体"/>
          <w:color w:val="000000"/>
        </w:rPr>
        <w:t>”</w:t>
      </w:r>
      <w:r>
        <w:rPr>
          <w:rFonts w:ascii="仿宋" w:hAnsi="仿宋"/>
          <w:color w:val="000000"/>
        </w:rPr>
        <w:t>生态环境保护规划、安徽省</w:t>
      </w:r>
      <w:r>
        <w:rPr>
          <w:rFonts w:hint="eastAsia" w:eastAsia="宋体"/>
          <w:color w:val="000000"/>
        </w:rPr>
        <w:t>“</w:t>
      </w:r>
      <w:r>
        <w:rPr>
          <w:rFonts w:ascii="仿宋" w:hAnsi="仿宋"/>
          <w:color w:val="000000"/>
        </w:rPr>
        <w:t>十四五</w:t>
      </w:r>
      <w:r>
        <w:rPr>
          <w:rFonts w:hint="eastAsia" w:eastAsia="宋体"/>
          <w:color w:val="000000"/>
        </w:rPr>
        <w:t>”</w:t>
      </w:r>
      <w:r>
        <w:rPr>
          <w:rFonts w:ascii="仿宋" w:hAnsi="仿宋"/>
          <w:color w:val="000000"/>
        </w:rPr>
        <w:t>生态环境保护规划、</w:t>
      </w:r>
      <w:r>
        <w:rPr>
          <w:rFonts w:hint="eastAsia" w:ascii="仿宋" w:hAnsi="仿宋"/>
          <w:color w:val="000000"/>
        </w:rPr>
        <w:t>宿州市“十四五”生态环境保护规划，</w:t>
      </w:r>
      <w:r>
        <w:rPr>
          <w:rFonts w:ascii="仿宋" w:hAnsi="仿宋"/>
          <w:color w:val="000000"/>
        </w:rPr>
        <w:t>国家生态文明建设示范</w:t>
      </w:r>
      <w:r>
        <w:rPr>
          <w:rFonts w:hint="eastAsia" w:ascii="仿宋" w:hAnsi="仿宋"/>
          <w:color w:val="000000"/>
        </w:rPr>
        <w:t>县</w:t>
      </w:r>
      <w:r>
        <w:rPr>
          <w:rFonts w:ascii="仿宋" w:hAnsi="仿宋"/>
          <w:color w:val="000000"/>
        </w:rPr>
        <w:t>指标要求，约束性、预期性指标统筹兼顾，</w:t>
      </w:r>
      <w:r>
        <w:rPr>
          <w:rFonts w:ascii="仿宋" w:hAnsi="仿宋"/>
        </w:rPr>
        <w:t>构建</w:t>
      </w:r>
      <w:r>
        <w:rPr>
          <w:rFonts w:hint="eastAsia" w:ascii="仿宋" w:hAnsi="仿宋"/>
        </w:rPr>
        <w:t>砀山县</w:t>
      </w:r>
      <w:r>
        <w:rPr>
          <w:rFonts w:hint="eastAsia" w:eastAsia="宋体"/>
        </w:rPr>
        <w:t>“</w:t>
      </w:r>
      <w:r>
        <w:rPr>
          <w:rFonts w:ascii="仿宋" w:hAnsi="仿宋"/>
        </w:rPr>
        <w:t>十四五</w:t>
      </w:r>
      <w:r>
        <w:rPr>
          <w:rFonts w:hint="eastAsia" w:eastAsia="宋体"/>
        </w:rPr>
        <w:t>”</w:t>
      </w:r>
      <w:r>
        <w:rPr>
          <w:rFonts w:ascii="仿宋" w:hAnsi="仿宋"/>
        </w:rPr>
        <w:t>生态环境指标体系，</w:t>
      </w:r>
      <w:r>
        <w:rPr>
          <w:rFonts w:ascii="Calibri" w:hAnsi="Calibri"/>
          <w:color w:val="0C0C0C"/>
          <w:szCs w:val="28"/>
        </w:rPr>
        <w:t>由环境质量指标、污染物减排指标、污染防治指标、应对气候变化指标、生态建设指标和满意度指标</w:t>
      </w:r>
      <w:r>
        <w:rPr>
          <w:color w:val="0C0C0C"/>
          <w:szCs w:val="28"/>
        </w:rPr>
        <w:t>5</w:t>
      </w:r>
      <w:r>
        <w:rPr>
          <w:rFonts w:ascii="Calibri" w:hAnsi="Calibri"/>
          <w:color w:val="0C0C0C"/>
          <w:szCs w:val="28"/>
        </w:rPr>
        <w:t>类</w:t>
      </w:r>
      <w:r>
        <w:rPr>
          <w:bCs/>
          <w:color w:val="0C0C0C"/>
          <w:szCs w:val="28"/>
        </w:rPr>
        <w:t>18</w:t>
      </w:r>
      <w:r>
        <w:rPr>
          <w:rFonts w:ascii="Calibri" w:hAnsi="Calibri"/>
          <w:color w:val="0C0C0C"/>
          <w:szCs w:val="28"/>
        </w:rPr>
        <w:t>项指标构成。</w:t>
      </w:r>
      <w:r>
        <w:rPr>
          <w:rFonts w:hint="eastAsia" w:ascii="Calibri" w:hAnsi="Calibri"/>
          <w:color w:val="0C0C0C"/>
          <w:szCs w:val="28"/>
        </w:rPr>
        <w:t>砀山县“</w:t>
      </w:r>
      <w:r>
        <w:rPr>
          <w:rFonts w:ascii="Calibri" w:hAnsi="Calibri"/>
          <w:color w:val="0C0C0C"/>
          <w:szCs w:val="28"/>
        </w:rPr>
        <w:t>十四五</w:t>
      </w:r>
      <w:r>
        <w:rPr>
          <w:rFonts w:hint="eastAsia" w:ascii="Calibri" w:hAnsi="Calibri"/>
          <w:color w:val="0C0C0C"/>
          <w:szCs w:val="28"/>
        </w:rPr>
        <w:t>”</w:t>
      </w:r>
      <w:r>
        <w:rPr>
          <w:rFonts w:ascii="Calibri" w:hAnsi="Calibri"/>
          <w:color w:val="0C0C0C"/>
          <w:szCs w:val="28"/>
        </w:rPr>
        <w:t>生态环境保护规划主要目标指标见表</w:t>
      </w:r>
      <w:r>
        <w:rPr>
          <w:rFonts w:hint="eastAsia"/>
          <w:color w:val="0C0C0C"/>
          <w:szCs w:val="28"/>
        </w:rPr>
        <w:t>2-1</w:t>
      </w:r>
      <w:r>
        <w:rPr>
          <w:rFonts w:ascii="Calibri" w:hAnsi="Calibri"/>
          <w:color w:val="0C0C0C"/>
          <w:szCs w:val="28"/>
        </w:rPr>
        <w:t>。</w:t>
      </w:r>
    </w:p>
    <w:p w14:paraId="05DF6296">
      <w:pPr>
        <w:spacing w:line="360" w:lineRule="auto"/>
        <w:ind w:firstLine="0" w:firstLineChars="0"/>
        <w:jc w:val="center"/>
        <w:rPr>
          <w:rFonts w:ascii="仿宋" w:hAnsi="仿宋"/>
          <w:b/>
          <w:bCs/>
          <w:sz w:val="24"/>
        </w:rPr>
      </w:pPr>
    </w:p>
    <w:p w14:paraId="5D86A822">
      <w:pPr>
        <w:spacing w:line="360" w:lineRule="auto"/>
        <w:ind w:firstLine="0" w:firstLineChars="0"/>
        <w:jc w:val="center"/>
        <w:rPr>
          <w:rFonts w:ascii="仿宋" w:hAnsi="仿宋"/>
          <w:b/>
          <w:bCs/>
          <w:sz w:val="24"/>
        </w:rPr>
      </w:pPr>
    </w:p>
    <w:p w14:paraId="46ABCF76">
      <w:pPr>
        <w:spacing w:line="360" w:lineRule="auto"/>
        <w:ind w:firstLine="0" w:firstLineChars="0"/>
        <w:jc w:val="center"/>
        <w:rPr>
          <w:rFonts w:ascii="仿宋" w:hAnsi="仿宋"/>
          <w:b/>
          <w:bCs/>
          <w:sz w:val="24"/>
        </w:rPr>
      </w:pPr>
    </w:p>
    <w:p w14:paraId="4E0588BA">
      <w:pPr>
        <w:spacing w:line="360" w:lineRule="auto"/>
        <w:ind w:firstLine="0" w:firstLineChars="0"/>
        <w:jc w:val="center"/>
        <w:rPr>
          <w:rFonts w:ascii="仿宋" w:hAnsi="仿宋"/>
          <w:b/>
          <w:bCs/>
          <w:sz w:val="24"/>
        </w:rPr>
      </w:pPr>
    </w:p>
    <w:p w14:paraId="3053ECD0">
      <w:pPr>
        <w:spacing w:line="360" w:lineRule="auto"/>
        <w:ind w:firstLine="0" w:firstLineChars="0"/>
        <w:jc w:val="center"/>
        <w:rPr>
          <w:rFonts w:ascii="仿宋" w:hAnsi="仿宋"/>
          <w:b/>
          <w:bCs/>
          <w:sz w:val="24"/>
        </w:rPr>
      </w:pPr>
    </w:p>
    <w:p w14:paraId="24F3FB9E">
      <w:pPr>
        <w:spacing w:line="360" w:lineRule="auto"/>
        <w:ind w:firstLine="0" w:firstLineChars="0"/>
        <w:jc w:val="center"/>
        <w:rPr>
          <w:rFonts w:ascii="仿宋" w:hAnsi="仿宋"/>
          <w:b/>
          <w:bCs/>
          <w:sz w:val="24"/>
        </w:rPr>
      </w:pPr>
    </w:p>
    <w:p w14:paraId="6C37D0A2">
      <w:pPr>
        <w:pStyle w:val="2"/>
      </w:pPr>
    </w:p>
    <w:p w14:paraId="1CF527D0">
      <w:pPr>
        <w:spacing w:line="360" w:lineRule="auto"/>
        <w:ind w:firstLine="0" w:firstLineChars="0"/>
        <w:jc w:val="center"/>
        <w:rPr>
          <w:rFonts w:ascii="仿宋" w:hAnsi="仿宋"/>
          <w:b/>
          <w:bCs/>
          <w:sz w:val="24"/>
        </w:rPr>
      </w:pPr>
    </w:p>
    <w:p w14:paraId="68DF400B">
      <w:pPr>
        <w:spacing w:line="360" w:lineRule="auto"/>
        <w:ind w:firstLine="0" w:firstLineChars="0"/>
        <w:jc w:val="center"/>
        <w:rPr>
          <w:rFonts w:ascii="仿宋" w:hAnsi="仿宋"/>
        </w:rPr>
      </w:pPr>
      <w:r>
        <w:rPr>
          <w:rFonts w:hint="eastAsia" w:ascii="仿宋" w:hAnsi="仿宋"/>
          <w:b/>
          <w:bCs/>
          <w:sz w:val="24"/>
        </w:rPr>
        <w:t>表2-1 砀山县“十四五”生态环境保护规划指标体系</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1"/>
        <w:gridCol w:w="569"/>
        <w:gridCol w:w="1151"/>
        <w:gridCol w:w="1825"/>
        <w:gridCol w:w="707"/>
        <w:gridCol w:w="1134"/>
        <w:gridCol w:w="1205"/>
        <w:gridCol w:w="890"/>
      </w:tblGrid>
      <w:tr w14:paraId="6259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tblHeader/>
          <w:jc w:val="center"/>
        </w:trPr>
        <w:tc>
          <w:tcPr>
            <w:tcW w:w="527" w:type="pct"/>
            <w:vAlign w:val="center"/>
          </w:tcPr>
          <w:p w14:paraId="330DB94F">
            <w:pPr>
              <w:autoSpaceDE w:val="0"/>
              <w:autoSpaceDN w:val="0"/>
              <w:snapToGrid w:val="0"/>
              <w:spacing w:line="240" w:lineRule="auto"/>
              <w:ind w:firstLine="0" w:firstLineChars="0"/>
              <w:jc w:val="center"/>
              <w:rPr>
                <w:rFonts w:eastAsia="仿宋_GB2312"/>
                <w:b/>
                <w:kern w:val="0"/>
                <w:sz w:val="24"/>
                <w:szCs w:val="22"/>
              </w:rPr>
            </w:pPr>
            <w:bookmarkStart w:id="20" w:name="_Hlk80882935"/>
            <w:r>
              <w:rPr>
                <w:rFonts w:eastAsia="仿宋_GB2312"/>
                <w:b/>
                <w:kern w:val="0"/>
                <w:sz w:val="24"/>
                <w:szCs w:val="22"/>
              </w:rPr>
              <w:t>类别</w:t>
            </w:r>
          </w:p>
        </w:tc>
        <w:tc>
          <w:tcPr>
            <w:tcW w:w="340" w:type="pct"/>
            <w:vAlign w:val="center"/>
          </w:tcPr>
          <w:p w14:paraId="5330588F">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序号</w:t>
            </w:r>
          </w:p>
        </w:tc>
        <w:tc>
          <w:tcPr>
            <w:tcW w:w="1779" w:type="pct"/>
            <w:gridSpan w:val="2"/>
            <w:vAlign w:val="center"/>
          </w:tcPr>
          <w:p w14:paraId="7C50EE36">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指标名称</w:t>
            </w:r>
          </w:p>
        </w:tc>
        <w:tc>
          <w:tcPr>
            <w:tcW w:w="423" w:type="pct"/>
            <w:vAlign w:val="center"/>
          </w:tcPr>
          <w:p w14:paraId="576AB529">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单位</w:t>
            </w:r>
          </w:p>
        </w:tc>
        <w:tc>
          <w:tcPr>
            <w:tcW w:w="678" w:type="pct"/>
            <w:vAlign w:val="center"/>
          </w:tcPr>
          <w:p w14:paraId="11E86C8E">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2020</w:t>
            </w:r>
          </w:p>
          <w:p w14:paraId="346D2408">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现状值</w:t>
            </w:r>
          </w:p>
        </w:tc>
        <w:tc>
          <w:tcPr>
            <w:tcW w:w="721" w:type="pct"/>
            <w:vAlign w:val="center"/>
          </w:tcPr>
          <w:p w14:paraId="5C1EC0CA">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2025</w:t>
            </w:r>
          </w:p>
          <w:p w14:paraId="65D1BF7B">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目标值</w:t>
            </w:r>
          </w:p>
        </w:tc>
        <w:tc>
          <w:tcPr>
            <w:tcW w:w="532" w:type="pct"/>
            <w:vAlign w:val="center"/>
          </w:tcPr>
          <w:p w14:paraId="2C18C51D">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指标</w:t>
            </w:r>
          </w:p>
          <w:p w14:paraId="664FCD2C">
            <w:pPr>
              <w:autoSpaceDE w:val="0"/>
              <w:autoSpaceDN w:val="0"/>
              <w:snapToGrid w:val="0"/>
              <w:spacing w:line="240" w:lineRule="auto"/>
              <w:ind w:firstLine="0" w:firstLineChars="0"/>
              <w:jc w:val="center"/>
              <w:rPr>
                <w:rFonts w:eastAsia="仿宋_GB2312"/>
                <w:b/>
                <w:kern w:val="0"/>
                <w:sz w:val="24"/>
                <w:szCs w:val="22"/>
              </w:rPr>
            </w:pPr>
            <w:r>
              <w:rPr>
                <w:rFonts w:eastAsia="仿宋_GB2312"/>
                <w:b/>
                <w:kern w:val="0"/>
                <w:sz w:val="24"/>
                <w:szCs w:val="22"/>
              </w:rPr>
              <w:t>属性</w:t>
            </w:r>
          </w:p>
        </w:tc>
      </w:tr>
      <w:tr w14:paraId="5FE4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restart"/>
            <w:vAlign w:val="center"/>
          </w:tcPr>
          <w:p w14:paraId="6BDF402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环境</w:t>
            </w:r>
          </w:p>
          <w:p w14:paraId="71FECBF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治理</w:t>
            </w:r>
          </w:p>
        </w:tc>
        <w:tc>
          <w:tcPr>
            <w:tcW w:w="340" w:type="pct"/>
            <w:vAlign w:val="center"/>
          </w:tcPr>
          <w:p w14:paraId="70559F7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w:t>
            </w:r>
          </w:p>
        </w:tc>
        <w:tc>
          <w:tcPr>
            <w:tcW w:w="1779" w:type="pct"/>
            <w:gridSpan w:val="2"/>
            <w:vAlign w:val="center"/>
          </w:tcPr>
          <w:p w14:paraId="1DA3EDEF">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城市细颗粒物（PM2.5）年均浓度</w:t>
            </w:r>
          </w:p>
        </w:tc>
        <w:tc>
          <w:tcPr>
            <w:tcW w:w="423" w:type="pct"/>
            <w:vAlign w:val="center"/>
          </w:tcPr>
          <w:p w14:paraId="74D8D756">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μg/m3</w:t>
            </w:r>
          </w:p>
        </w:tc>
        <w:tc>
          <w:tcPr>
            <w:tcW w:w="678" w:type="pct"/>
            <w:vAlign w:val="center"/>
          </w:tcPr>
          <w:p w14:paraId="3D794C4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57</w:t>
            </w:r>
          </w:p>
        </w:tc>
        <w:tc>
          <w:tcPr>
            <w:tcW w:w="721" w:type="pct"/>
            <w:vAlign w:val="center"/>
          </w:tcPr>
          <w:p w14:paraId="51881EE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39</w:t>
            </w:r>
          </w:p>
        </w:tc>
        <w:tc>
          <w:tcPr>
            <w:tcW w:w="532" w:type="pct"/>
            <w:vAlign w:val="center"/>
          </w:tcPr>
          <w:p w14:paraId="34596226">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1213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78213B95">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0E2BB1F4">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2</w:t>
            </w:r>
          </w:p>
        </w:tc>
        <w:tc>
          <w:tcPr>
            <w:tcW w:w="1779" w:type="pct"/>
            <w:gridSpan w:val="2"/>
            <w:vAlign w:val="center"/>
          </w:tcPr>
          <w:p w14:paraId="2482597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城市空气质量优良天数比率</w:t>
            </w:r>
          </w:p>
        </w:tc>
        <w:tc>
          <w:tcPr>
            <w:tcW w:w="423" w:type="pct"/>
            <w:vAlign w:val="center"/>
          </w:tcPr>
          <w:p w14:paraId="183C927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6E0AF140">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67.1</w:t>
            </w:r>
          </w:p>
        </w:tc>
        <w:tc>
          <w:tcPr>
            <w:tcW w:w="721" w:type="pct"/>
            <w:vAlign w:val="center"/>
          </w:tcPr>
          <w:p w14:paraId="0DAEBA51">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75</w:t>
            </w:r>
          </w:p>
        </w:tc>
        <w:tc>
          <w:tcPr>
            <w:tcW w:w="532" w:type="pct"/>
            <w:vAlign w:val="center"/>
          </w:tcPr>
          <w:p w14:paraId="0A10373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4488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63B5782A">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600C5BB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3</w:t>
            </w:r>
          </w:p>
        </w:tc>
        <w:tc>
          <w:tcPr>
            <w:tcW w:w="1779" w:type="pct"/>
            <w:gridSpan w:val="2"/>
            <w:vAlign w:val="center"/>
          </w:tcPr>
          <w:p w14:paraId="06DC3A2B">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重污染天数</w:t>
            </w:r>
          </w:p>
        </w:tc>
        <w:tc>
          <w:tcPr>
            <w:tcW w:w="423" w:type="pct"/>
            <w:vAlign w:val="center"/>
          </w:tcPr>
          <w:p w14:paraId="49E164C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天</w:t>
            </w:r>
          </w:p>
        </w:tc>
        <w:tc>
          <w:tcPr>
            <w:tcW w:w="678" w:type="pct"/>
            <w:vAlign w:val="center"/>
          </w:tcPr>
          <w:p w14:paraId="29259CF6">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8</w:t>
            </w:r>
          </w:p>
        </w:tc>
        <w:tc>
          <w:tcPr>
            <w:tcW w:w="721" w:type="pct"/>
            <w:vAlign w:val="center"/>
          </w:tcPr>
          <w:p w14:paraId="3E3EB891">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2</w:t>
            </w:r>
          </w:p>
        </w:tc>
        <w:tc>
          <w:tcPr>
            <w:tcW w:w="532" w:type="pct"/>
            <w:vAlign w:val="center"/>
          </w:tcPr>
          <w:p w14:paraId="706D5490">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12B6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53722539">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686DE984">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4</w:t>
            </w:r>
          </w:p>
        </w:tc>
        <w:tc>
          <w:tcPr>
            <w:tcW w:w="1779" w:type="pct"/>
            <w:gridSpan w:val="2"/>
            <w:vAlign w:val="center"/>
          </w:tcPr>
          <w:p w14:paraId="0903324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地表水国考断面水质优良（达到或优于Ⅲ类）比例</w:t>
            </w:r>
          </w:p>
        </w:tc>
        <w:tc>
          <w:tcPr>
            <w:tcW w:w="423" w:type="pct"/>
            <w:vAlign w:val="center"/>
          </w:tcPr>
          <w:p w14:paraId="3737AE9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7CADAB8F">
            <w:pPr>
              <w:autoSpaceDE w:val="0"/>
              <w:autoSpaceDN w:val="0"/>
              <w:snapToGrid w:val="0"/>
              <w:spacing w:line="240" w:lineRule="auto"/>
              <w:ind w:firstLine="0" w:firstLineChars="0"/>
              <w:jc w:val="center"/>
              <w:rPr>
                <w:rFonts w:eastAsia="仿宋_GB2312"/>
                <w:bCs/>
                <w:kern w:val="0"/>
                <w:sz w:val="24"/>
                <w:szCs w:val="22"/>
              </w:rPr>
            </w:pPr>
          </w:p>
        </w:tc>
        <w:tc>
          <w:tcPr>
            <w:tcW w:w="721" w:type="pct"/>
            <w:vAlign w:val="center"/>
          </w:tcPr>
          <w:p w14:paraId="5253CC19">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1</w:t>
            </w:r>
            <w:r>
              <w:rPr>
                <w:rFonts w:eastAsia="仿宋_GB2312"/>
                <w:bCs/>
                <w:kern w:val="0"/>
                <w:sz w:val="24"/>
                <w:szCs w:val="22"/>
              </w:rPr>
              <w:t>00</w:t>
            </w:r>
          </w:p>
        </w:tc>
        <w:tc>
          <w:tcPr>
            <w:tcW w:w="532" w:type="pct"/>
            <w:vAlign w:val="center"/>
          </w:tcPr>
          <w:p w14:paraId="24BCBCD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6190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2B691FFD">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379C674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5</w:t>
            </w:r>
          </w:p>
        </w:tc>
        <w:tc>
          <w:tcPr>
            <w:tcW w:w="1779" w:type="pct"/>
            <w:gridSpan w:val="2"/>
            <w:vAlign w:val="center"/>
          </w:tcPr>
          <w:p w14:paraId="6409534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城市黑臭水体比例</w:t>
            </w:r>
          </w:p>
        </w:tc>
        <w:tc>
          <w:tcPr>
            <w:tcW w:w="423" w:type="pct"/>
            <w:vAlign w:val="center"/>
          </w:tcPr>
          <w:p w14:paraId="23FF06F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08A5161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0</w:t>
            </w:r>
          </w:p>
        </w:tc>
        <w:tc>
          <w:tcPr>
            <w:tcW w:w="721" w:type="pct"/>
            <w:vAlign w:val="center"/>
          </w:tcPr>
          <w:p w14:paraId="6566E57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0</w:t>
            </w:r>
          </w:p>
        </w:tc>
        <w:tc>
          <w:tcPr>
            <w:tcW w:w="532" w:type="pct"/>
            <w:vAlign w:val="center"/>
          </w:tcPr>
          <w:p w14:paraId="333D62D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0559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415DC6A9">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3B712A4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6</w:t>
            </w:r>
          </w:p>
        </w:tc>
        <w:tc>
          <w:tcPr>
            <w:tcW w:w="1779" w:type="pct"/>
            <w:gridSpan w:val="2"/>
            <w:vAlign w:val="center"/>
          </w:tcPr>
          <w:p w14:paraId="7F6EDDA6">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地下水质量</w:t>
            </w:r>
            <w:r>
              <w:rPr>
                <w:rFonts w:eastAsia="仿宋_GB2312"/>
                <w:bCs/>
                <w:kern w:val="0"/>
                <w:sz w:val="24"/>
                <w:szCs w:val="22"/>
              </w:rPr>
              <w:fldChar w:fldCharType="begin"/>
            </w:r>
            <w:r>
              <w:rPr>
                <w:rFonts w:eastAsia="仿宋_GB2312"/>
                <w:bCs/>
                <w:kern w:val="0"/>
                <w:sz w:val="24"/>
                <w:szCs w:val="22"/>
              </w:rPr>
              <w:instrText xml:space="preserve"> = 5 \* ROMAN </w:instrText>
            </w:r>
            <w:r>
              <w:rPr>
                <w:rFonts w:eastAsia="仿宋_GB2312"/>
                <w:bCs/>
                <w:kern w:val="0"/>
                <w:sz w:val="24"/>
                <w:szCs w:val="22"/>
              </w:rPr>
              <w:fldChar w:fldCharType="separate"/>
            </w:r>
            <w:r>
              <w:rPr>
                <w:rFonts w:eastAsia="仿宋_GB2312"/>
                <w:bCs/>
                <w:kern w:val="0"/>
                <w:sz w:val="24"/>
                <w:szCs w:val="22"/>
              </w:rPr>
              <w:t>V</w:t>
            </w:r>
            <w:r>
              <w:rPr>
                <w:rFonts w:eastAsia="仿宋_GB2312"/>
                <w:bCs/>
                <w:kern w:val="0"/>
                <w:sz w:val="24"/>
                <w:szCs w:val="22"/>
              </w:rPr>
              <w:fldChar w:fldCharType="end"/>
            </w:r>
            <w:r>
              <w:rPr>
                <w:rFonts w:eastAsia="仿宋_GB2312"/>
                <w:bCs/>
                <w:kern w:val="0"/>
                <w:sz w:val="24"/>
                <w:szCs w:val="22"/>
              </w:rPr>
              <w:t>类水比例</w:t>
            </w:r>
          </w:p>
        </w:tc>
        <w:tc>
          <w:tcPr>
            <w:tcW w:w="423" w:type="pct"/>
            <w:vAlign w:val="center"/>
          </w:tcPr>
          <w:p w14:paraId="292D4D2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07F2CF05">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完成省市下达任务</w:t>
            </w:r>
          </w:p>
        </w:tc>
        <w:tc>
          <w:tcPr>
            <w:tcW w:w="721" w:type="pct"/>
            <w:vAlign w:val="center"/>
          </w:tcPr>
          <w:p w14:paraId="515CA5C5">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完成省市下达任务</w:t>
            </w:r>
          </w:p>
        </w:tc>
        <w:tc>
          <w:tcPr>
            <w:tcW w:w="532" w:type="pct"/>
            <w:vAlign w:val="center"/>
          </w:tcPr>
          <w:p w14:paraId="20D9BDD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41E5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1D8134AA">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52BAE5AF">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7</w:t>
            </w:r>
          </w:p>
        </w:tc>
        <w:tc>
          <w:tcPr>
            <w:tcW w:w="1779" w:type="pct"/>
            <w:gridSpan w:val="2"/>
            <w:vAlign w:val="center"/>
          </w:tcPr>
          <w:p w14:paraId="55CCE0E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农村生活污水治理率</w:t>
            </w:r>
          </w:p>
        </w:tc>
        <w:tc>
          <w:tcPr>
            <w:tcW w:w="423" w:type="pct"/>
            <w:vAlign w:val="center"/>
          </w:tcPr>
          <w:p w14:paraId="2BFA693F">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63EEE22D">
            <w:pPr>
              <w:autoSpaceDE w:val="0"/>
              <w:autoSpaceDN w:val="0"/>
              <w:snapToGrid w:val="0"/>
              <w:spacing w:line="240" w:lineRule="auto"/>
              <w:ind w:firstLine="0" w:firstLineChars="0"/>
              <w:jc w:val="center"/>
              <w:rPr>
                <w:rFonts w:eastAsia="仿宋_GB2312"/>
                <w:bCs/>
                <w:kern w:val="0"/>
                <w:sz w:val="24"/>
                <w:szCs w:val="22"/>
              </w:rPr>
            </w:pPr>
          </w:p>
        </w:tc>
        <w:tc>
          <w:tcPr>
            <w:tcW w:w="721" w:type="pct"/>
            <w:vAlign w:val="center"/>
          </w:tcPr>
          <w:p w14:paraId="6B8D761B">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完成省市下达任务</w:t>
            </w:r>
          </w:p>
        </w:tc>
        <w:tc>
          <w:tcPr>
            <w:tcW w:w="532" w:type="pct"/>
            <w:vAlign w:val="center"/>
          </w:tcPr>
          <w:p w14:paraId="1E35AD80">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0B3D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5CAB2AB2">
            <w:pPr>
              <w:autoSpaceDE w:val="0"/>
              <w:autoSpaceDN w:val="0"/>
              <w:snapToGrid w:val="0"/>
              <w:spacing w:line="240" w:lineRule="auto"/>
              <w:ind w:firstLine="0" w:firstLineChars="0"/>
              <w:jc w:val="center"/>
              <w:rPr>
                <w:rFonts w:eastAsia="仿宋_GB2312"/>
                <w:bCs/>
                <w:kern w:val="0"/>
                <w:sz w:val="24"/>
                <w:szCs w:val="22"/>
              </w:rPr>
            </w:pPr>
          </w:p>
        </w:tc>
        <w:tc>
          <w:tcPr>
            <w:tcW w:w="340" w:type="pct"/>
            <w:vMerge w:val="restart"/>
            <w:vAlign w:val="center"/>
          </w:tcPr>
          <w:p w14:paraId="61799E96">
            <w:pPr>
              <w:autoSpaceDE w:val="0"/>
              <w:autoSpaceDN w:val="0"/>
              <w:snapToGrid w:val="0"/>
              <w:spacing w:line="240" w:lineRule="auto"/>
              <w:ind w:firstLine="0" w:firstLineChars="0"/>
              <w:jc w:val="center"/>
              <w:rPr>
                <w:rFonts w:eastAsia="仿宋_GB2312"/>
                <w:bCs/>
                <w:kern w:val="0"/>
                <w:sz w:val="24"/>
                <w:szCs w:val="22"/>
              </w:rPr>
            </w:pPr>
          </w:p>
          <w:p w14:paraId="3DDB951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8</w:t>
            </w:r>
          </w:p>
        </w:tc>
        <w:tc>
          <w:tcPr>
            <w:tcW w:w="688" w:type="pct"/>
            <w:vMerge w:val="restart"/>
            <w:vAlign w:val="center"/>
          </w:tcPr>
          <w:p w14:paraId="029A556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主要污染物减排量</w:t>
            </w:r>
          </w:p>
        </w:tc>
        <w:tc>
          <w:tcPr>
            <w:tcW w:w="1091" w:type="pct"/>
            <w:vAlign w:val="center"/>
          </w:tcPr>
          <w:p w14:paraId="69B0202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化学需氧量</w:t>
            </w:r>
          </w:p>
        </w:tc>
        <w:tc>
          <w:tcPr>
            <w:tcW w:w="423" w:type="pct"/>
            <w:vAlign w:val="center"/>
          </w:tcPr>
          <w:p w14:paraId="0E6807C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万吨</w:t>
            </w:r>
          </w:p>
        </w:tc>
        <w:tc>
          <w:tcPr>
            <w:tcW w:w="678" w:type="pct"/>
            <w:vMerge w:val="restart"/>
            <w:vAlign w:val="center"/>
          </w:tcPr>
          <w:p w14:paraId="6C346B20">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完成省下达</w:t>
            </w:r>
            <w:r>
              <w:rPr>
                <w:rFonts w:hint="eastAsia" w:eastAsia="仿宋_GB2312"/>
                <w:bCs/>
                <w:kern w:val="0"/>
                <w:sz w:val="24"/>
                <w:szCs w:val="22"/>
              </w:rPr>
              <w:t>任务</w:t>
            </w:r>
          </w:p>
        </w:tc>
        <w:tc>
          <w:tcPr>
            <w:tcW w:w="721" w:type="pct"/>
            <w:vMerge w:val="restart"/>
            <w:vAlign w:val="center"/>
          </w:tcPr>
          <w:p w14:paraId="75E8A019">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完成省下达</w:t>
            </w:r>
            <w:r>
              <w:rPr>
                <w:rFonts w:hint="eastAsia" w:eastAsia="仿宋_GB2312"/>
                <w:bCs/>
                <w:kern w:val="0"/>
                <w:sz w:val="24"/>
                <w:szCs w:val="22"/>
              </w:rPr>
              <w:t>任务</w:t>
            </w:r>
          </w:p>
        </w:tc>
        <w:tc>
          <w:tcPr>
            <w:tcW w:w="532" w:type="pct"/>
            <w:vMerge w:val="restart"/>
            <w:vAlign w:val="center"/>
          </w:tcPr>
          <w:p w14:paraId="42F4DC7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6460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603DF705">
            <w:pPr>
              <w:autoSpaceDE w:val="0"/>
              <w:autoSpaceDN w:val="0"/>
              <w:snapToGrid w:val="0"/>
              <w:spacing w:line="240" w:lineRule="auto"/>
              <w:ind w:firstLine="0" w:firstLineChars="0"/>
              <w:jc w:val="center"/>
              <w:rPr>
                <w:rFonts w:eastAsia="仿宋_GB2312"/>
                <w:bCs/>
                <w:kern w:val="0"/>
                <w:sz w:val="24"/>
                <w:szCs w:val="22"/>
              </w:rPr>
            </w:pPr>
          </w:p>
        </w:tc>
        <w:tc>
          <w:tcPr>
            <w:tcW w:w="340" w:type="pct"/>
            <w:vMerge w:val="continue"/>
            <w:vAlign w:val="center"/>
          </w:tcPr>
          <w:p w14:paraId="60343C05">
            <w:pPr>
              <w:autoSpaceDE w:val="0"/>
              <w:autoSpaceDN w:val="0"/>
              <w:snapToGrid w:val="0"/>
              <w:spacing w:line="240" w:lineRule="auto"/>
              <w:ind w:firstLine="0" w:firstLineChars="0"/>
              <w:jc w:val="center"/>
              <w:rPr>
                <w:rFonts w:eastAsia="仿宋_GB2312"/>
                <w:bCs/>
                <w:kern w:val="0"/>
                <w:sz w:val="24"/>
                <w:szCs w:val="22"/>
              </w:rPr>
            </w:pPr>
          </w:p>
        </w:tc>
        <w:tc>
          <w:tcPr>
            <w:tcW w:w="688" w:type="pct"/>
            <w:vMerge w:val="continue"/>
            <w:vAlign w:val="center"/>
          </w:tcPr>
          <w:p w14:paraId="31F3D401">
            <w:pPr>
              <w:autoSpaceDE w:val="0"/>
              <w:autoSpaceDN w:val="0"/>
              <w:snapToGrid w:val="0"/>
              <w:spacing w:line="240" w:lineRule="auto"/>
              <w:ind w:firstLine="0" w:firstLineChars="0"/>
              <w:jc w:val="center"/>
              <w:rPr>
                <w:rFonts w:eastAsia="仿宋_GB2312"/>
                <w:bCs/>
                <w:kern w:val="0"/>
                <w:sz w:val="24"/>
                <w:szCs w:val="22"/>
              </w:rPr>
            </w:pPr>
          </w:p>
        </w:tc>
        <w:tc>
          <w:tcPr>
            <w:tcW w:w="1091" w:type="pct"/>
            <w:vAlign w:val="center"/>
          </w:tcPr>
          <w:p w14:paraId="5044A118">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氨氮</w:t>
            </w:r>
          </w:p>
        </w:tc>
        <w:tc>
          <w:tcPr>
            <w:tcW w:w="423" w:type="pct"/>
            <w:vAlign w:val="center"/>
          </w:tcPr>
          <w:p w14:paraId="685B2D3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万吨</w:t>
            </w:r>
          </w:p>
        </w:tc>
        <w:tc>
          <w:tcPr>
            <w:tcW w:w="678" w:type="pct"/>
            <w:vMerge w:val="continue"/>
            <w:vAlign w:val="center"/>
          </w:tcPr>
          <w:p w14:paraId="1A2BEF33">
            <w:pPr>
              <w:autoSpaceDE w:val="0"/>
              <w:autoSpaceDN w:val="0"/>
              <w:snapToGrid w:val="0"/>
              <w:spacing w:line="240" w:lineRule="auto"/>
              <w:ind w:firstLine="0" w:firstLineChars="0"/>
              <w:jc w:val="center"/>
              <w:rPr>
                <w:rFonts w:eastAsia="仿宋_GB2312"/>
                <w:bCs/>
                <w:kern w:val="0"/>
                <w:sz w:val="24"/>
                <w:szCs w:val="22"/>
              </w:rPr>
            </w:pPr>
          </w:p>
        </w:tc>
        <w:tc>
          <w:tcPr>
            <w:tcW w:w="721" w:type="pct"/>
            <w:vMerge w:val="continue"/>
            <w:vAlign w:val="center"/>
          </w:tcPr>
          <w:p w14:paraId="16DF50B4">
            <w:pPr>
              <w:autoSpaceDE w:val="0"/>
              <w:autoSpaceDN w:val="0"/>
              <w:snapToGrid w:val="0"/>
              <w:spacing w:line="240" w:lineRule="auto"/>
              <w:ind w:firstLine="0" w:firstLineChars="0"/>
              <w:jc w:val="center"/>
              <w:rPr>
                <w:rFonts w:eastAsia="仿宋_GB2312"/>
                <w:bCs/>
                <w:kern w:val="0"/>
                <w:sz w:val="24"/>
                <w:szCs w:val="22"/>
              </w:rPr>
            </w:pPr>
          </w:p>
        </w:tc>
        <w:tc>
          <w:tcPr>
            <w:tcW w:w="532" w:type="pct"/>
            <w:vMerge w:val="continue"/>
            <w:vAlign w:val="center"/>
          </w:tcPr>
          <w:p w14:paraId="7FAFEF29">
            <w:pPr>
              <w:autoSpaceDE w:val="0"/>
              <w:autoSpaceDN w:val="0"/>
              <w:snapToGrid w:val="0"/>
              <w:spacing w:line="240" w:lineRule="auto"/>
              <w:ind w:firstLine="0" w:firstLineChars="0"/>
              <w:jc w:val="center"/>
              <w:rPr>
                <w:rFonts w:eastAsia="仿宋_GB2312"/>
                <w:bCs/>
                <w:kern w:val="0"/>
                <w:sz w:val="24"/>
                <w:szCs w:val="22"/>
              </w:rPr>
            </w:pPr>
          </w:p>
        </w:tc>
      </w:tr>
      <w:tr w14:paraId="06E1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23992C46">
            <w:pPr>
              <w:autoSpaceDE w:val="0"/>
              <w:autoSpaceDN w:val="0"/>
              <w:snapToGrid w:val="0"/>
              <w:spacing w:line="240" w:lineRule="auto"/>
              <w:ind w:firstLine="0" w:firstLineChars="0"/>
              <w:jc w:val="center"/>
              <w:rPr>
                <w:rFonts w:eastAsia="仿宋_GB2312"/>
                <w:bCs/>
                <w:kern w:val="0"/>
                <w:sz w:val="24"/>
                <w:szCs w:val="22"/>
              </w:rPr>
            </w:pPr>
          </w:p>
        </w:tc>
        <w:tc>
          <w:tcPr>
            <w:tcW w:w="340" w:type="pct"/>
            <w:vMerge w:val="continue"/>
            <w:vAlign w:val="center"/>
          </w:tcPr>
          <w:p w14:paraId="6EE13285">
            <w:pPr>
              <w:autoSpaceDE w:val="0"/>
              <w:autoSpaceDN w:val="0"/>
              <w:snapToGrid w:val="0"/>
              <w:spacing w:line="240" w:lineRule="auto"/>
              <w:ind w:firstLine="0" w:firstLineChars="0"/>
              <w:jc w:val="center"/>
              <w:rPr>
                <w:rFonts w:eastAsia="仿宋_GB2312"/>
                <w:bCs/>
                <w:kern w:val="0"/>
                <w:sz w:val="24"/>
                <w:szCs w:val="22"/>
              </w:rPr>
            </w:pPr>
          </w:p>
        </w:tc>
        <w:tc>
          <w:tcPr>
            <w:tcW w:w="688" w:type="pct"/>
            <w:vMerge w:val="continue"/>
            <w:vAlign w:val="center"/>
          </w:tcPr>
          <w:p w14:paraId="73A7AE4E">
            <w:pPr>
              <w:autoSpaceDE w:val="0"/>
              <w:autoSpaceDN w:val="0"/>
              <w:snapToGrid w:val="0"/>
              <w:spacing w:line="240" w:lineRule="auto"/>
              <w:ind w:firstLine="0" w:firstLineChars="0"/>
              <w:jc w:val="center"/>
              <w:rPr>
                <w:rFonts w:eastAsia="仿宋_GB2312"/>
                <w:bCs/>
                <w:kern w:val="0"/>
                <w:sz w:val="24"/>
                <w:szCs w:val="22"/>
              </w:rPr>
            </w:pPr>
          </w:p>
        </w:tc>
        <w:tc>
          <w:tcPr>
            <w:tcW w:w="1091" w:type="pct"/>
            <w:vAlign w:val="center"/>
          </w:tcPr>
          <w:p w14:paraId="2BC4084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氮氧化物</w:t>
            </w:r>
          </w:p>
        </w:tc>
        <w:tc>
          <w:tcPr>
            <w:tcW w:w="423" w:type="pct"/>
            <w:vAlign w:val="center"/>
          </w:tcPr>
          <w:p w14:paraId="7F0FA65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万吨</w:t>
            </w:r>
          </w:p>
        </w:tc>
        <w:tc>
          <w:tcPr>
            <w:tcW w:w="678" w:type="pct"/>
            <w:vMerge w:val="continue"/>
            <w:vAlign w:val="center"/>
          </w:tcPr>
          <w:p w14:paraId="0D3F4A32">
            <w:pPr>
              <w:autoSpaceDE w:val="0"/>
              <w:autoSpaceDN w:val="0"/>
              <w:snapToGrid w:val="0"/>
              <w:spacing w:line="240" w:lineRule="auto"/>
              <w:ind w:firstLine="0" w:firstLineChars="0"/>
              <w:jc w:val="center"/>
              <w:rPr>
                <w:rFonts w:eastAsia="仿宋_GB2312"/>
                <w:bCs/>
                <w:kern w:val="0"/>
                <w:sz w:val="24"/>
                <w:szCs w:val="22"/>
              </w:rPr>
            </w:pPr>
          </w:p>
        </w:tc>
        <w:tc>
          <w:tcPr>
            <w:tcW w:w="721" w:type="pct"/>
            <w:vMerge w:val="continue"/>
            <w:vAlign w:val="center"/>
          </w:tcPr>
          <w:p w14:paraId="77753C7C">
            <w:pPr>
              <w:autoSpaceDE w:val="0"/>
              <w:autoSpaceDN w:val="0"/>
              <w:snapToGrid w:val="0"/>
              <w:spacing w:line="240" w:lineRule="auto"/>
              <w:ind w:firstLine="0" w:firstLineChars="0"/>
              <w:jc w:val="center"/>
              <w:rPr>
                <w:rFonts w:eastAsia="仿宋_GB2312"/>
                <w:bCs/>
                <w:kern w:val="0"/>
                <w:sz w:val="24"/>
                <w:szCs w:val="22"/>
              </w:rPr>
            </w:pPr>
          </w:p>
        </w:tc>
        <w:tc>
          <w:tcPr>
            <w:tcW w:w="532" w:type="pct"/>
            <w:vMerge w:val="continue"/>
            <w:vAlign w:val="center"/>
          </w:tcPr>
          <w:p w14:paraId="70AA6383">
            <w:pPr>
              <w:autoSpaceDE w:val="0"/>
              <w:autoSpaceDN w:val="0"/>
              <w:snapToGrid w:val="0"/>
              <w:spacing w:line="240" w:lineRule="auto"/>
              <w:ind w:firstLine="0" w:firstLineChars="0"/>
              <w:jc w:val="center"/>
              <w:rPr>
                <w:rFonts w:eastAsia="仿宋_GB2312"/>
                <w:bCs/>
                <w:kern w:val="0"/>
                <w:sz w:val="24"/>
                <w:szCs w:val="22"/>
              </w:rPr>
            </w:pPr>
          </w:p>
        </w:tc>
      </w:tr>
      <w:tr w14:paraId="6147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1A75C507">
            <w:pPr>
              <w:autoSpaceDE w:val="0"/>
              <w:autoSpaceDN w:val="0"/>
              <w:snapToGrid w:val="0"/>
              <w:spacing w:line="240" w:lineRule="auto"/>
              <w:ind w:firstLine="0" w:firstLineChars="0"/>
              <w:jc w:val="center"/>
              <w:rPr>
                <w:rFonts w:eastAsia="仿宋_GB2312"/>
                <w:bCs/>
                <w:kern w:val="0"/>
                <w:sz w:val="24"/>
                <w:szCs w:val="22"/>
              </w:rPr>
            </w:pPr>
          </w:p>
        </w:tc>
        <w:tc>
          <w:tcPr>
            <w:tcW w:w="340" w:type="pct"/>
            <w:vMerge w:val="continue"/>
            <w:vAlign w:val="center"/>
          </w:tcPr>
          <w:p w14:paraId="61526003">
            <w:pPr>
              <w:autoSpaceDE w:val="0"/>
              <w:autoSpaceDN w:val="0"/>
              <w:snapToGrid w:val="0"/>
              <w:spacing w:line="240" w:lineRule="auto"/>
              <w:ind w:firstLine="0" w:firstLineChars="0"/>
              <w:jc w:val="center"/>
              <w:rPr>
                <w:rFonts w:eastAsia="仿宋_GB2312"/>
                <w:bCs/>
                <w:kern w:val="0"/>
                <w:sz w:val="24"/>
                <w:szCs w:val="22"/>
              </w:rPr>
            </w:pPr>
          </w:p>
        </w:tc>
        <w:tc>
          <w:tcPr>
            <w:tcW w:w="688" w:type="pct"/>
            <w:vMerge w:val="continue"/>
            <w:vAlign w:val="center"/>
          </w:tcPr>
          <w:p w14:paraId="76768A76">
            <w:pPr>
              <w:autoSpaceDE w:val="0"/>
              <w:autoSpaceDN w:val="0"/>
              <w:snapToGrid w:val="0"/>
              <w:spacing w:line="240" w:lineRule="auto"/>
              <w:ind w:firstLine="0" w:firstLineChars="0"/>
              <w:jc w:val="center"/>
              <w:rPr>
                <w:rFonts w:eastAsia="仿宋_GB2312"/>
                <w:bCs/>
                <w:kern w:val="0"/>
                <w:sz w:val="24"/>
                <w:szCs w:val="22"/>
              </w:rPr>
            </w:pPr>
          </w:p>
        </w:tc>
        <w:tc>
          <w:tcPr>
            <w:tcW w:w="1091" w:type="pct"/>
            <w:vAlign w:val="center"/>
          </w:tcPr>
          <w:p w14:paraId="4BC8029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挥发性有机物</w:t>
            </w:r>
          </w:p>
        </w:tc>
        <w:tc>
          <w:tcPr>
            <w:tcW w:w="423" w:type="pct"/>
            <w:vAlign w:val="center"/>
          </w:tcPr>
          <w:p w14:paraId="19CC49E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万吨</w:t>
            </w:r>
          </w:p>
        </w:tc>
        <w:tc>
          <w:tcPr>
            <w:tcW w:w="678" w:type="pct"/>
            <w:vMerge w:val="continue"/>
            <w:vAlign w:val="center"/>
          </w:tcPr>
          <w:p w14:paraId="6259E83A">
            <w:pPr>
              <w:autoSpaceDE w:val="0"/>
              <w:autoSpaceDN w:val="0"/>
              <w:snapToGrid w:val="0"/>
              <w:spacing w:line="240" w:lineRule="auto"/>
              <w:ind w:firstLine="0" w:firstLineChars="0"/>
              <w:jc w:val="center"/>
              <w:rPr>
                <w:rFonts w:eastAsia="仿宋_GB2312"/>
                <w:bCs/>
                <w:kern w:val="0"/>
                <w:sz w:val="24"/>
                <w:szCs w:val="22"/>
              </w:rPr>
            </w:pPr>
          </w:p>
        </w:tc>
        <w:tc>
          <w:tcPr>
            <w:tcW w:w="721" w:type="pct"/>
            <w:vMerge w:val="continue"/>
            <w:vAlign w:val="center"/>
          </w:tcPr>
          <w:p w14:paraId="6ABDEB6A">
            <w:pPr>
              <w:autoSpaceDE w:val="0"/>
              <w:autoSpaceDN w:val="0"/>
              <w:snapToGrid w:val="0"/>
              <w:spacing w:line="240" w:lineRule="auto"/>
              <w:ind w:firstLine="0" w:firstLineChars="0"/>
              <w:jc w:val="center"/>
              <w:rPr>
                <w:rFonts w:eastAsia="仿宋_GB2312"/>
                <w:bCs/>
                <w:kern w:val="0"/>
                <w:sz w:val="24"/>
                <w:szCs w:val="22"/>
              </w:rPr>
            </w:pPr>
          </w:p>
        </w:tc>
        <w:tc>
          <w:tcPr>
            <w:tcW w:w="532" w:type="pct"/>
            <w:vMerge w:val="continue"/>
            <w:vAlign w:val="center"/>
          </w:tcPr>
          <w:p w14:paraId="07FB1477">
            <w:pPr>
              <w:autoSpaceDE w:val="0"/>
              <w:autoSpaceDN w:val="0"/>
              <w:snapToGrid w:val="0"/>
              <w:spacing w:line="240" w:lineRule="auto"/>
              <w:ind w:firstLine="0" w:firstLineChars="0"/>
              <w:jc w:val="center"/>
              <w:rPr>
                <w:rFonts w:eastAsia="仿宋_GB2312"/>
                <w:bCs/>
                <w:kern w:val="0"/>
                <w:sz w:val="24"/>
                <w:szCs w:val="22"/>
              </w:rPr>
            </w:pPr>
          </w:p>
        </w:tc>
      </w:tr>
      <w:tr w14:paraId="64B1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restart"/>
            <w:vAlign w:val="center"/>
          </w:tcPr>
          <w:p w14:paraId="755B358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应对气候变化</w:t>
            </w:r>
          </w:p>
        </w:tc>
        <w:tc>
          <w:tcPr>
            <w:tcW w:w="340" w:type="pct"/>
            <w:vAlign w:val="center"/>
          </w:tcPr>
          <w:p w14:paraId="4053C610">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9</w:t>
            </w:r>
          </w:p>
        </w:tc>
        <w:tc>
          <w:tcPr>
            <w:tcW w:w="1779" w:type="pct"/>
            <w:gridSpan w:val="2"/>
            <w:vAlign w:val="center"/>
          </w:tcPr>
          <w:p w14:paraId="0CDD775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单位国内生产总值二氧化碳排放降低</w:t>
            </w:r>
          </w:p>
        </w:tc>
        <w:tc>
          <w:tcPr>
            <w:tcW w:w="423" w:type="pct"/>
            <w:vAlign w:val="center"/>
          </w:tcPr>
          <w:p w14:paraId="69C4647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6E7A74D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w:t>
            </w:r>
            <w:r>
              <w:rPr>
                <w:rFonts w:hint="eastAsia" w:eastAsia="仿宋_GB2312"/>
                <w:bCs/>
                <w:kern w:val="0"/>
                <w:sz w:val="24"/>
                <w:szCs w:val="22"/>
              </w:rPr>
              <w:t>任务</w:t>
            </w:r>
          </w:p>
        </w:tc>
        <w:tc>
          <w:tcPr>
            <w:tcW w:w="721" w:type="pct"/>
            <w:vAlign w:val="center"/>
          </w:tcPr>
          <w:p w14:paraId="02D74AEF">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1CD00FB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05E8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3FDACB9F">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49796D5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10</w:t>
            </w:r>
          </w:p>
        </w:tc>
        <w:tc>
          <w:tcPr>
            <w:tcW w:w="1779" w:type="pct"/>
            <w:gridSpan w:val="2"/>
            <w:vAlign w:val="center"/>
          </w:tcPr>
          <w:p w14:paraId="33908B1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单位国内生产总值能耗降低</w:t>
            </w:r>
          </w:p>
        </w:tc>
        <w:tc>
          <w:tcPr>
            <w:tcW w:w="423" w:type="pct"/>
            <w:vAlign w:val="center"/>
          </w:tcPr>
          <w:p w14:paraId="3919D66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72550F6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w:t>
            </w:r>
            <w:r>
              <w:rPr>
                <w:rFonts w:hint="eastAsia" w:eastAsia="仿宋_GB2312"/>
                <w:bCs/>
                <w:kern w:val="0"/>
                <w:sz w:val="24"/>
                <w:szCs w:val="22"/>
              </w:rPr>
              <w:t>任务</w:t>
            </w:r>
          </w:p>
        </w:tc>
        <w:tc>
          <w:tcPr>
            <w:tcW w:w="721" w:type="pct"/>
            <w:vAlign w:val="center"/>
          </w:tcPr>
          <w:p w14:paraId="2D72569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70181EB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2C57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5B287CEA">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53D602A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11</w:t>
            </w:r>
          </w:p>
        </w:tc>
        <w:tc>
          <w:tcPr>
            <w:tcW w:w="1779" w:type="pct"/>
            <w:gridSpan w:val="2"/>
            <w:vAlign w:val="center"/>
          </w:tcPr>
          <w:p w14:paraId="2AA9DBB1">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一次电力及其他能源占能源消费总量比重</w:t>
            </w:r>
          </w:p>
        </w:tc>
        <w:tc>
          <w:tcPr>
            <w:tcW w:w="423" w:type="pct"/>
            <w:vAlign w:val="center"/>
          </w:tcPr>
          <w:p w14:paraId="079F4E4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6ECB46F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w:t>
            </w:r>
            <w:r>
              <w:rPr>
                <w:rFonts w:hint="eastAsia" w:eastAsia="仿宋_GB2312"/>
                <w:bCs/>
                <w:kern w:val="0"/>
                <w:sz w:val="24"/>
                <w:szCs w:val="22"/>
              </w:rPr>
              <w:t>任务</w:t>
            </w:r>
          </w:p>
        </w:tc>
        <w:tc>
          <w:tcPr>
            <w:tcW w:w="721" w:type="pct"/>
            <w:vAlign w:val="center"/>
          </w:tcPr>
          <w:p w14:paraId="67DE34C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5D2805B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1A22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restart"/>
            <w:vAlign w:val="center"/>
          </w:tcPr>
          <w:p w14:paraId="71FA717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环境风险防控</w:t>
            </w:r>
          </w:p>
        </w:tc>
        <w:tc>
          <w:tcPr>
            <w:tcW w:w="340" w:type="pct"/>
            <w:vAlign w:val="center"/>
          </w:tcPr>
          <w:p w14:paraId="6E9E9F4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12</w:t>
            </w:r>
          </w:p>
        </w:tc>
        <w:tc>
          <w:tcPr>
            <w:tcW w:w="1779" w:type="pct"/>
            <w:gridSpan w:val="2"/>
            <w:vAlign w:val="center"/>
          </w:tcPr>
          <w:p w14:paraId="636C14E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受污染耕地安全利用率</w:t>
            </w:r>
          </w:p>
        </w:tc>
        <w:tc>
          <w:tcPr>
            <w:tcW w:w="423" w:type="pct"/>
            <w:vAlign w:val="center"/>
          </w:tcPr>
          <w:p w14:paraId="2605DF0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1A93F4C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100</w:t>
            </w:r>
          </w:p>
        </w:tc>
        <w:tc>
          <w:tcPr>
            <w:tcW w:w="721" w:type="pct"/>
            <w:vAlign w:val="center"/>
          </w:tcPr>
          <w:p w14:paraId="75B97DB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3E065184">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5B47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7D1E3604">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488E53A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13</w:t>
            </w:r>
          </w:p>
        </w:tc>
        <w:tc>
          <w:tcPr>
            <w:tcW w:w="1779" w:type="pct"/>
            <w:gridSpan w:val="2"/>
            <w:vAlign w:val="center"/>
          </w:tcPr>
          <w:p w14:paraId="39A82EDE">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污染地块安全利用率（%）</w:t>
            </w:r>
          </w:p>
        </w:tc>
        <w:tc>
          <w:tcPr>
            <w:tcW w:w="423" w:type="pct"/>
            <w:vAlign w:val="center"/>
          </w:tcPr>
          <w:p w14:paraId="40F6891D">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01FE0A48">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100</w:t>
            </w:r>
          </w:p>
        </w:tc>
        <w:tc>
          <w:tcPr>
            <w:tcW w:w="721" w:type="pct"/>
            <w:vAlign w:val="center"/>
          </w:tcPr>
          <w:p w14:paraId="1988131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有效保障</w:t>
            </w:r>
          </w:p>
        </w:tc>
        <w:tc>
          <w:tcPr>
            <w:tcW w:w="532" w:type="pct"/>
            <w:vAlign w:val="center"/>
          </w:tcPr>
          <w:p w14:paraId="215FDF7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4681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2F450FE3">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2810008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14</w:t>
            </w:r>
          </w:p>
        </w:tc>
        <w:tc>
          <w:tcPr>
            <w:tcW w:w="1779" w:type="pct"/>
            <w:gridSpan w:val="2"/>
            <w:vAlign w:val="center"/>
          </w:tcPr>
          <w:p w14:paraId="257A90C3">
            <w:pPr>
              <w:autoSpaceDE w:val="0"/>
              <w:autoSpaceDN w:val="0"/>
              <w:snapToGrid w:val="0"/>
              <w:spacing w:line="240" w:lineRule="auto"/>
              <w:ind w:firstLine="0" w:firstLineChars="0"/>
              <w:jc w:val="center"/>
              <w:rPr>
                <w:rFonts w:eastAsia="仿宋_GB2312"/>
                <w:bCs/>
                <w:kern w:val="0"/>
                <w:sz w:val="24"/>
                <w:szCs w:val="22"/>
              </w:rPr>
            </w:pPr>
            <w:bookmarkStart w:id="21" w:name="_Hlk84685698"/>
            <w:r>
              <w:rPr>
                <w:rFonts w:eastAsia="仿宋_GB2312"/>
                <w:bCs/>
                <w:kern w:val="0"/>
                <w:sz w:val="24"/>
                <w:szCs w:val="22"/>
              </w:rPr>
              <w:t>放射源辐射事故发生率</w:t>
            </w:r>
            <w:bookmarkEnd w:id="21"/>
          </w:p>
        </w:tc>
        <w:tc>
          <w:tcPr>
            <w:tcW w:w="423" w:type="pct"/>
            <w:vAlign w:val="center"/>
          </w:tcPr>
          <w:p w14:paraId="0F95B984">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起/万枚</w:t>
            </w:r>
          </w:p>
        </w:tc>
        <w:tc>
          <w:tcPr>
            <w:tcW w:w="678" w:type="pct"/>
            <w:vAlign w:val="center"/>
          </w:tcPr>
          <w:p w14:paraId="69EF6CC4">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0</w:t>
            </w:r>
          </w:p>
        </w:tc>
        <w:tc>
          <w:tcPr>
            <w:tcW w:w="721" w:type="pct"/>
            <w:vAlign w:val="center"/>
          </w:tcPr>
          <w:p w14:paraId="50EA0949">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71511CF7">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10AC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restart"/>
            <w:vAlign w:val="center"/>
          </w:tcPr>
          <w:p w14:paraId="139B809E">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生态</w:t>
            </w:r>
          </w:p>
          <w:p w14:paraId="522FA4C6">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保护</w:t>
            </w:r>
          </w:p>
        </w:tc>
        <w:tc>
          <w:tcPr>
            <w:tcW w:w="340" w:type="pct"/>
            <w:vAlign w:val="center"/>
          </w:tcPr>
          <w:p w14:paraId="4939CF9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15</w:t>
            </w:r>
          </w:p>
        </w:tc>
        <w:tc>
          <w:tcPr>
            <w:tcW w:w="1779" w:type="pct"/>
            <w:gridSpan w:val="2"/>
            <w:vAlign w:val="center"/>
          </w:tcPr>
          <w:p w14:paraId="08EFF239">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生态质量指数（EQI）</w:t>
            </w:r>
          </w:p>
        </w:tc>
        <w:tc>
          <w:tcPr>
            <w:tcW w:w="423" w:type="pct"/>
            <w:vAlign w:val="center"/>
          </w:tcPr>
          <w:p w14:paraId="65EC16CB">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668CE219">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721" w:type="pct"/>
            <w:vAlign w:val="center"/>
          </w:tcPr>
          <w:p w14:paraId="7F8AFCA0">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完成省</w:t>
            </w:r>
            <w:r>
              <w:rPr>
                <w:rFonts w:hint="eastAsia" w:eastAsia="仿宋_GB2312"/>
                <w:bCs/>
                <w:kern w:val="0"/>
                <w:sz w:val="24"/>
                <w:szCs w:val="22"/>
              </w:rPr>
              <w:t>市</w:t>
            </w:r>
            <w:r>
              <w:rPr>
                <w:rFonts w:eastAsia="仿宋_GB2312"/>
                <w:bCs/>
                <w:kern w:val="0"/>
                <w:sz w:val="24"/>
                <w:szCs w:val="22"/>
              </w:rPr>
              <w:t>下达任务</w:t>
            </w:r>
          </w:p>
        </w:tc>
        <w:tc>
          <w:tcPr>
            <w:tcW w:w="532" w:type="pct"/>
            <w:vAlign w:val="center"/>
          </w:tcPr>
          <w:p w14:paraId="0D73CE52">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tr w14:paraId="0A2A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13D47B58">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37893423">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16</w:t>
            </w:r>
          </w:p>
        </w:tc>
        <w:tc>
          <w:tcPr>
            <w:tcW w:w="1779" w:type="pct"/>
            <w:gridSpan w:val="2"/>
            <w:vAlign w:val="center"/>
          </w:tcPr>
          <w:p w14:paraId="27F7B6E6">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林木</w:t>
            </w:r>
            <w:r>
              <w:rPr>
                <w:rFonts w:eastAsia="仿宋_GB2312"/>
                <w:bCs/>
                <w:kern w:val="0"/>
                <w:sz w:val="24"/>
                <w:szCs w:val="22"/>
              </w:rPr>
              <w:t>覆盖率</w:t>
            </w:r>
          </w:p>
        </w:tc>
        <w:tc>
          <w:tcPr>
            <w:tcW w:w="423" w:type="pct"/>
            <w:vAlign w:val="center"/>
          </w:tcPr>
          <w:p w14:paraId="176FD38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530CE035">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65.02</w:t>
            </w:r>
          </w:p>
        </w:tc>
        <w:tc>
          <w:tcPr>
            <w:tcW w:w="721" w:type="pct"/>
            <w:vAlign w:val="center"/>
          </w:tcPr>
          <w:p w14:paraId="05460A7D">
            <w:pPr>
              <w:autoSpaceDE w:val="0"/>
              <w:autoSpaceDN w:val="0"/>
              <w:snapToGrid w:val="0"/>
              <w:spacing w:line="240" w:lineRule="auto"/>
              <w:ind w:firstLine="0" w:firstLineChars="0"/>
              <w:jc w:val="center"/>
              <w:rPr>
                <w:rFonts w:eastAsia="仿宋_GB2312"/>
                <w:bCs/>
                <w:kern w:val="0"/>
                <w:sz w:val="24"/>
                <w:szCs w:val="22"/>
              </w:rPr>
            </w:pPr>
          </w:p>
        </w:tc>
        <w:tc>
          <w:tcPr>
            <w:tcW w:w="532" w:type="pct"/>
            <w:vAlign w:val="center"/>
          </w:tcPr>
          <w:p w14:paraId="180338F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5D3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Merge w:val="continue"/>
            <w:vAlign w:val="center"/>
          </w:tcPr>
          <w:p w14:paraId="0262549E">
            <w:pPr>
              <w:autoSpaceDE w:val="0"/>
              <w:autoSpaceDN w:val="0"/>
              <w:snapToGrid w:val="0"/>
              <w:spacing w:line="240" w:lineRule="auto"/>
              <w:ind w:firstLine="0" w:firstLineChars="0"/>
              <w:jc w:val="center"/>
              <w:rPr>
                <w:rFonts w:eastAsia="仿宋_GB2312"/>
                <w:bCs/>
                <w:kern w:val="0"/>
                <w:sz w:val="24"/>
                <w:szCs w:val="22"/>
              </w:rPr>
            </w:pPr>
          </w:p>
        </w:tc>
        <w:tc>
          <w:tcPr>
            <w:tcW w:w="340" w:type="pct"/>
            <w:vAlign w:val="center"/>
          </w:tcPr>
          <w:p w14:paraId="7D82759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17</w:t>
            </w:r>
          </w:p>
        </w:tc>
        <w:tc>
          <w:tcPr>
            <w:tcW w:w="1779" w:type="pct"/>
            <w:gridSpan w:val="2"/>
            <w:vAlign w:val="center"/>
          </w:tcPr>
          <w:p w14:paraId="71EFBEF5">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生态保护红线占国土面积比例</w:t>
            </w:r>
          </w:p>
        </w:tc>
        <w:tc>
          <w:tcPr>
            <w:tcW w:w="423" w:type="pct"/>
            <w:vAlign w:val="center"/>
          </w:tcPr>
          <w:p w14:paraId="009D8E0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2FEA1638">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完成国家下达任务</w:t>
            </w:r>
          </w:p>
        </w:tc>
        <w:tc>
          <w:tcPr>
            <w:tcW w:w="721" w:type="pct"/>
            <w:vAlign w:val="center"/>
          </w:tcPr>
          <w:p w14:paraId="6EB39855">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完成国家下达任务</w:t>
            </w:r>
          </w:p>
        </w:tc>
        <w:tc>
          <w:tcPr>
            <w:tcW w:w="532" w:type="pct"/>
            <w:vAlign w:val="center"/>
          </w:tcPr>
          <w:p w14:paraId="7AE23C89">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约束性</w:t>
            </w:r>
          </w:p>
        </w:tc>
      </w:tr>
      <w:tr w14:paraId="3DA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527" w:type="pct"/>
            <w:vAlign w:val="center"/>
          </w:tcPr>
          <w:p w14:paraId="399F9DB8">
            <w:pPr>
              <w:autoSpaceDE w:val="0"/>
              <w:autoSpaceDN w:val="0"/>
              <w:snapToGrid w:val="0"/>
              <w:spacing w:line="240" w:lineRule="auto"/>
              <w:ind w:firstLine="0" w:firstLineChars="0"/>
              <w:jc w:val="center"/>
              <w:rPr>
                <w:rFonts w:eastAsia="仿宋_GB2312"/>
                <w:bCs/>
                <w:kern w:val="0"/>
                <w:sz w:val="24"/>
                <w:szCs w:val="22"/>
              </w:rPr>
            </w:pPr>
            <w:r>
              <w:rPr>
                <w:rFonts w:hint="eastAsia" w:eastAsia="仿宋_GB2312"/>
                <w:bCs/>
                <w:kern w:val="0"/>
                <w:sz w:val="24"/>
                <w:szCs w:val="22"/>
              </w:rPr>
              <w:t>能</w:t>
            </w:r>
            <w:r>
              <w:rPr>
                <w:rFonts w:eastAsia="仿宋_GB2312"/>
                <w:bCs/>
                <w:kern w:val="0"/>
                <w:sz w:val="24"/>
                <w:szCs w:val="22"/>
              </w:rPr>
              <w:t>力</w:t>
            </w:r>
          </w:p>
          <w:p w14:paraId="73F550FC">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建设</w:t>
            </w:r>
          </w:p>
        </w:tc>
        <w:tc>
          <w:tcPr>
            <w:tcW w:w="340" w:type="pct"/>
            <w:vAlign w:val="center"/>
          </w:tcPr>
          <w:p w14:paraId="033BE196">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18</w:t>
            </w:r>
          </w:p>
        </w:tc>
        <w:tc>
          <w:tcPr>
            <w:tcW w:w="1779" w:type="pct"/>
            <w:gridSpan w:val="2"/>
            <w:vAlign w:val="center"/>
          </w:tcPr>
          <w:p w14:paraId="10B4F8E1">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环境监测、监察能力建设</w:t>
            </w:r>
          </w:p>
        </w:tc>
        <w:tc>
          <w:tcPr>
            <w:tcW w:w="423" w:type="pct"/>
            <w:vAlign w:val="center"/>
          </w:tcPr>
          <w:p w14:paraId="6B70086A">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w:t>
            </w:r>
          </w:p>
        </w:tc>
        <w:tc>
          <w:tcPr>
            <w:tcW w:w="678" w:type="pct"/>
            <w:vAlign w:val="center"/>
          </w:tcPr>
          <w:p w14:paraId="505864EB">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未达到中部二级标准</w:t>
            </w:r>
          </w:p>
        </w:tc>
        <w:tc>
          <w:tcPr>
            <w:tcW w:w="721" w:type="pct"/>
            <w:vAlign w:val="center"/>
          </w:tcPr>
          <w:p w14:paraId="6CD1089F">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中部二级标准</w:t>
            </w:r>
          </w:p>
        </w:tc>
        <w:tc>
          <w:tcPr>
            <w:tcW w:w="532" w:type="pct"/>
            <w:vAlign w:val="center"/>
          </w:tcPr>
          <w:p w14:paraId="57547C05">
            <w:pPr>
              <w:autoSpaceDE w:val="0"/>
              <w:autoSpaceDN w:val="0"/>
              <w:snapToGrid w:val="0"/>
              <w:spacing w:line="240" w:lineRule="auto"/>
              <w:ind w:firstLine="0" w:firstLineChars="0"/>
              <w:jc w:val="center"/>
              <w:rPr>
                <w:rFonts w:eastAsia="仿宋_GB2312"/>
                <w:bCs/>
                <w:kern w:val="0"/>
                <w:sz w:val="24"/>
                <w:szCs w:val="22"/>
              </w:rPr>
            </w:pPr>
            <w:r>
              <w:rPr>
                <w:rFonts w:eastAsia="仿宋_GB2312"/>
                <w:bCs/>
                <w:kern w:val="0"/>
                <w:sz w:val="24"/>
                <w:szCs w:val="22"/>
              </w:rPr>
              <w:t>预期性</w:t>
            </w:r>
          </w:p>
        </w:tc>
      </w:tr>
      <w:bookmarkEnd w:id="20"/>
    </w:tbl>
    <w:p w14:paraId="6C651599">
      <w:pPr>
        <w:pStyle w:val="9"/>
        <w:ind w:left="560" w:firstLine="0" w:firstLineChars="0"/>
      </w:pPr>
    </w:p>
    <w:p w14:paraId="33C5DFFD">
      <w:pPr>
        <w:pStyle w:val="2"/>
      </w:pPr>
      <w:bookmarkStart w:id="22" w:name="_Toc9354"/>
      <w:r>
        <w:rPr>
          <w:rFonts w:hint="eastAsia"/>
        </w:rPr>
        <w:t>第三章 坚持绿色低碳发展，建设美好和谐家园</w:t>
      </w:r>
      <w:bookmarkEnd w:id="22"/>
    </w:p>
    <w:p w14:paraId="4AA0BB55">
      <w:pPr>
        <w:pStyle w:val="3"/>
      </w:pPr>
      <w:bookmarkStart w:id="23" w:name="_Toc6151"/>
      <w:r>
        <w:rPr>
          <w:rFonts w:hint="eastAsia"/>
        </w:rPr>
        <w:t>第一节 强化资源节约集约</w:t>
      </w:r>
      <w:bookmarkEnd w:id="23"/>
    </w:p>
    <w:p w14:paraId="39376A03">
      <w:pPr>
        <w:pStyle w:val="4"/>
        <w:spacing w:before="156" w:beforeLines="50" w:after="0" w:line="360" w:lineRule="auto"/>
        <w:ind w:left="560" w:leftChars="200" w:firstLine="0" w:firstLineChars="0"/>
        <w:rPr>
          <w:sz w:val="28"/>
          <w:szCs w:val="28"/>
        </w:rPr>
      </w:pPr>
      <w:r>
        <w:rPr>
          <w:rFonts w:hint="eastAsia"/>
          <w:sz w:val="28"/>
          <w:szCs w:val="28"/>
        </w:rPr>
        <w:t>一、提高能源利用效率</w:t>
      </w:r>
    </w:p>
    <w:p w14:paraId="24C3C95F">
      <w:pPr>
        <w:widowControl/>
        <w:spacing w:line="420" w:lineRule="auto"/>
        <w:ind w:firstLine="560"/>
        <w:jc w:val="left"/>
        <w:rPr>
          <w:rFonts w:ascii="仿宋" w:hAnsi="仿宋" w:cs="仿宋"/>
          <w:szCs w:val="28"/>
        </w:rPr>
      </w:pPr>
      <w:r>
        <w:rPr>
          <w:rFonts w:hint="eastAsia" w:ascii="仿宋" w:hAnsi="仿宋" w:cs="仿宋"/>
          <w:b/>
          <w:bCs/>
          <w:color w:val="0C0C0C"/>
          <w:kern w:val="0"/>
          <w:szCs w:val="28"/>
          <w:lang w:bidi="ar"/>
        </w:rPr>
        <w:t>继续实施能源消耗总量和强度“双控”行动。</w:t>
      </w:r>
      <w:r>
        <w:rPr>
          <w:rFonts w:hint="eastAsia" w:ascii="仿宋" w:hAnsi="仿宋" w:cs="仿宋"/>
          <w:color w:val="0C0C0C"/>
          <w:kern w:val="0"/>
          <w:szCs w:val="28"/>
          <w:lang w:bidi="ar"/>
        </w:rPr>
        <w:t xml:space="preserve">严格实施固定资产投资项目节能审查制度，推行合同能源管理模式，实现重点用能行业、设备节能标准全覆盖。加强工业、建筑、交通运输、商贸流通、公共机构等重点领域节能，强化重点用能单位和重点用能设备节能管理。发挥市场配置资源的作用，引导能耗要素合理流动和高效配置。大力推广节能高效技术和产品。严格控制能源消费总量和强度，保障经济社会发展和民生改善合理用能。 </w:t>
      </w:r>
    </w:p>
    <w:p w14:paraId="03EB0A5A">
      <w:pPr>
        <w:widowControl/>
        <w:spacing w:line="420" w:lineRule="auto"/>
        <w:ind w:firstLine="560"/>
        <w:jc w:val="left"/>
        <w:rPr>
          <w:rFonts w:ascii="仿宋" w:hAnsi="仿宋" w:cs="仿宋"/>
          <w:color w:val="0C0C0C"/>
          <w:kern w:val="0"/>
          <w:szCs w:val="28"/>
          <w:lang w:bidi="ar"/>
        </w:rPr>
      </w:pPr>
      <w:r>
        <w:rPr>
          <w:rFonts w:hint="eastAsia" w:ascii="仿宋" w:hAnsi="仿宋" w:cs="仿宋"/>
          <w:b/>
          <w:bCs/>
          <w:color w:val="0C0C0C"/>
          <w:kern w:val="0"/>
          <w:szCs w:val="28"/>
          <w:lang w:bidi="ar"/>
        </w:rPr>
        <w:t>建设清洁低碳现代能源体系。</w:t>
      </w:r>
      <w:r>
        <w:rPr>
          <w:rFonts w:hint="eastAsia" w:ascii="仿宋" w:hAnsi="仿宋" w:cs="仿宋"/>
          <w:color w:val="0C0C0C"/>
          <w:kern w:val="0"/>
          <w:szCs w:val="28"/>
          <w:lang w:bidi="ar"/>
        </w:rPr>
        <w:t>积极参与苏皖豫天然气联络线规划建设，积极推进省级宿州-淮北-萧县-砀山段项目建设，加快实现天然气管道“镇镇通”。加大地热资源利用力度，利用风光储一体化等新能源微电网技术，加快实现分布式能源高效、灵活接入及生产消费一体化。</w:t>
      </w:r>
    </w:p>
    <w:p w14:paraId="5490EA19">
      <w:pPr>
        <w:widowControl/>
        <w:spacing w:line="420" w:lineRule="auto"/>
        <w:ind w:firstLine="560"/>
        <w:jc w:val="left"/>
        <w:rPr>
          <w:rFonts w:ascii="仿宋" w:hAnsi="仿宋" w:cs="仿宋"/>
          <w:color w:val="0C0C0C"/>
          <w:kern w:val="0"/>
          <w:szCs w:val="28"/>
          <w:lang w:bidi="ar"/>
        </w:rPr>
      </w:pPr>
      <w:r>
        <w:rPr>
          <w:rFonts w:hint="eastAsia" w:ascii="仿宋" w:hAnsi="仿宋" w:cs="仿宋"/>
          <w:b/>
          <w:bCs/>
          <w:color w:val="0C0C0C"/>
          <w:kern w:val="0"/>
          <w:szCs w:val="28"/>
          <w:lang w:bidi="ar"/>
        </w:rPr>
        <w:t>推动能源结构调整。</w:t>
      </w:r>
      <w:r>
        <w:rPr>
          <w:rFonts w:hint="eastAsia" w:ascii="仿宋" w:hAnsi="仿宋" w:cs="仿宋"/>
          <w:color w:val="0C0C0C"/>
          <w:kern w:val="0"/>
          <w:szCs w:val="28"/>
          <w:lang w:bidi="ar"/>
        </w:rPr>
        <w:t>使清洁低碳能源成为能源消耗增量主体、降低煤炭消费总量。</w:t>
      </w:r>
      <w:r>
        <w:rPr>
          <w:rFonts w:ascii="仿宋" w:hAnsi="仿宋" w:cs="仿宋"/>
          <w:color w:val="0C0C0C"/>
          <w:kern w:val="0"/>
          <w:szCs w:val="28"/>
          <w:lang w:bidi="ar"/>
        </w:rPr>
        <w:t>建立健全绿色循环低碳产业体系，建设清洁低碳、安全高效的现代能源体系，大力发展资源节约型、环境友好型产业</w:t>
      </w:r>
      <w:r>
        <w:rPr>
          <w:rFonts w:hint="eastAsia" w:ascii="仿宋" w:hAnsi="仿宋" w:cs="仿宋"/>
          <w:color w:val="0C0C0C"/>
          <w:kern w:val="0"/>
          <w:szCs w:val="28"/>
          <w:lang w:bidi="ar"/>
        </w:rPr>
        <w:t>。优化运输结构，更多的利用铁路和水路进行运输，减少载重汽车的尾气排放。</w:t>
      </w:r>
    </w:p>
    <w:p w14:paraId="092726BB">
      <w:pPr>
        <w:widowControl/>
        <w:spacing w:line="420" w:lineRule="auto"/>
        <w:ind w:firstLine="560"/>
        <w:jc w:val="left"/>
        <w:outlineLvl w:val="2"/>
        <w:rPr>
          <w:b/>
          <w:bCs/>
          <w:szCs w:val="28"/>
        </w:rPr>
      </w:pPr>
      <w:r>
        <w:rPr>
          <w:rFonts w:hint="eastAsia"/>
          <w:b/>
          <w:bCs/>
          <w:szCs w:val="28"/>
        </w:rPr>
        <w:t>二、加强水资源节约利用</w:t>
      </w:r>
    </w:p>
    <w:p w14:paraId="3E2BC9BC">
      <w:pPr>
        <w:pStyle w:val="21"/>
        <w:spacing w:line="420" w:lineRule="auto"/>
        <w:ind w:firstLine="560"/>
      </w:pPr>
      <w:r>
        <w:rPr>
          <w:rFonts w:hint="eastAsia" w:eastAsia="仿宋"/>
          <w:b/>
          <w:bCs/>
          <w:color w:val="auto"/>
          <w:sz w:val="28"/>
          <w:szCs w:val="24"/>
        </w:rPr>
        <w:t>实施总量控制。</w:t>
      </w:r>
      <w:r>
        <w:rPr>
          <w:rFonts w:hint="eastAsia" w:eastAsia="仿宋"/>
          <w:color w:val="auto"/>
          <w:sz w:val="28"/>
          <w:szCs w:val="24"/>
        </w:rPr>
        <w:t>遵循统筹规划、科学配置、节约和水资源有偿使用原则，加强用水管理，保障水资源可持续利用。严格控制流域和区域取用水总量，落实县域内各流域的水量分配方案，实施流域和区域取用水总量控制。</w:t>
      </w:r>
      <w:r>
        <w:rPr>
          <w:rFonts w:hint="eastAsia" w:ascii="仿宋" w:hAnsi="仿宋" w:eastAsia="仿宋" w:cs="仿宋"/>
          <w:color w:val="0C0C0C"/>
          <w:kern w:val="0"/>
          <w:sz w:val="28"/>
          <w:szCs w:val="28"/>
          <w:lang w:bidi="ar"/>
        </w:rPr>
        <w:t xml:space="preserve"> </w:t>
      </w:r>
    </w:p>
    <w:p w14:paraId="32220FFF">
      <w:pPr>
        <w:widowControl/>
        <w:spacing w:line="420" w:lineRule="auto"/>
        <w:ind w:firstLine="560"/>
        <w:jc w:val="left"/>
      </w:pPr>
      <w:r>
        <w:rPr>
          <w:rFonts w:hint="eastAsia" w:ascii="仿宋" w:hAnsi="仿宋" w:cs="仿宋"/>
          <w:b/>
          <w:bCs/>
          <w:color w:val="0C0C0C"/>
          <w:kern w:val="0"/>
          <w:szCs w:val="28"/>
          <w:lang w:bidi="ar"/>
        </w:rPr>
        <w:t>全面提升水资源利用效率。</w:t>
      </w:r>
      <w:r>
        <w:rPr>
          <w:rFonts w:hint="eastAsia" w:ascii="仿宋" w:hAnsi="仿宋" w:cs="仿宋"/>
          <w:color w:val="0C0C0C"/>
          <w:kern w:val="0"/>
          <w:szCs w:val="28"/>
          <w:lang w:bidi="ar"/>
        </w:rPr>
        <w:t>强化节水考核管理，落实《国家节水行动宿州市实施计划》（</w:t>
      </w:r>
      <w:r>
        <w:rPr>
          <w:rFonts w:hint="eastAsia" w:ascii="仿宋" w:hAnsi="仿宋" w:cs="仿宋"/>
          <w:color w:val="333333"/>
          <w:szCs w:val="28"/>
          <w:shd w:val="clear" w:color="auto" w:fill="FFFFFF"/>
        </w:rPr>
        <w:t>宿水节</w:t>
      </w:r>
      <w:r>
        <w:rPr>
          <w:color w:val="333333"/>
          <w:szCs w:val="28"/>
          <w:shd w:val="clear" w:color="auto" w:fill="FFFFFF"/>
        </w:rPr>
        <w:t>[2020]17</w:t>
      </w:r>
      <w:r>
        <w:rPr>
          <w:rFonts w:hint="eastAsia" w:ascii="仿宋" w:hAnsi="仿宋" w:cs="仿宋"/>
          <w:color w:val="333333"/>
          <w:szCs w:val="28"/>
          <w:shd w:val="clear" w:color="auto" w:fill="FFFFFF"/>
        </w:rPr>
        <w:t>号）</w:t>
      </w:r>
      <w:r>
        <w:rPr>
          <w:rFonts w:hint="eastAsia" w:ascii="仿宋" w:hAnsi="仿宋" w:cs="仿宋"/>
          <w:color w:val="0C0C0C"/>
          <w:kern w:val="0"/>
          <w:szCs w:val="28"/>
          <w:lang w:bidi="ar"/>
        </w:rPr>
        <w:t xml:space="preserve">，巩固节水型社会建设成果，大力开展节水型载体建设。大力推进农业节水增效、工业节水减排、城镇节水降损、重点地区节水开源等领域节水工作，积极推广节水器具和节水新技术、新工艺。发展节水型工业，加快产业升级，降低单位工业增加值用水量。加大农业节水力度，加强农业灌溉用水总量控制和定额管理，推广节水灌溉水肥一体化技术，建设节水型乡村。 </w:t>
      </w:r>
    </w:p>
    <w:p w14:paraId="144D910E">
      <w:pPr>
        <w:widowControl/>
        <w:spacing w:line="420" w:lineRule="auto"/>
        <w:ind w:firstLine="560"/>
        <w:jc w:val="left"/>
        <w:rPr>
          <w:rFonts w:ascii="仿宋" w:hAnsi="仿宋" w:cs="仿宋"/>
          <w:color w:val="0C0C0C"/>
          <w:kern w:val="0"/>
          <w:szCs w:val="28"/>
          <w:lang w:bidi="ar"/>
        </w:rPr>
      </w:pPr>
      <w:r>
        <w:rPr>
          <w:rFonts w:hint="eastAsia" w:ascii="仿宋" w:hAnsi="仿宋" w:cs="仿宋"/>
          <w:b/>
          <w:bCs/>
          <w:color w:val="0C0C0C"/>
          <w:kern w:val="0"/>
          <w:szCs w:val="28"/>
          <w:lang w:bidi="ar"/>
        </w:rPr>
        <w:t>加快推进中水回用。</w:t>
      </w:r>
      <w:r>
        <w:rPr>
          <w:rFonts w:hint="eastAsia" w:ascii="仿宋" w:hAnsi="仿宋" w:cs="仿宋"/>
          <w:color w:val="0C0C0C"/>
          <w:kern w:val="0"/>
          <w:szCs w:val="28"/>
          <w:lang w:bidi="ar"/>
        </w:rPr>
        <w:t>在重要排污口下游、河流入湖口、支流入干流等关键节点，因地制宜建设人工湿地水质净化等生态设施，对处理达标后的尾水和微污染河水进一步净化改善后，纳入水资源调配管理体系，用于生态补水、工业生产和市政杂用。推动建设污染治理、循环利用、生态保护有机结合的综合治理体系。</w:t>
      </w:r>
    </w:p>
    <w:p w14:paraId="480B2BFD">
      <w:pPr>
        <w:ind w:firstLine="560"/>
        <w:jc w:val="left"/>
        <w:rPr>
          <w:b/>
          <w:bCs/>
          <w:szCs w:val="28"/>
        </w:rPr>
      </w:pPr>
      <w:r>
        <w:rPr>
          <w:rFonts w:ascii="仿宋" w:hAnsi="仿宋" w:cs="仿宋"/>
          <w:b/>
          <w:bCs/>
          <w:color w:val="0C0C0C"/>
          <w:kern w:val="0"/>
          <w:szCs w:val="28"/>
          <w:lang w:bidi="ar"/>
        </w:rPr>
        <w:t>推进水资源综合管理。</w:t>
      </w:r>
      <w:r>
        <w:rPr>
          <w:rFonts w:ascii="仿宋" w:hAnsi="仿宋" w:cs="仿宋"/>
          <w:color w:val="0C0C0C"/>
          <w:kern w:val="0"/>
          <w:szCs w:val="28"/>
          <w:lang w:bidi="ar"/>
        </w:rPr>
        <w:t>实施最严格水资源管理制度。落实国家节</w:t>
      </w:r>
      <w:r>
        <w:rPr>
          <w:rFonts w:hint="eastAsia" w:ascii="仿宋" w:hAnsi="仿宋" w:cs="仿宋"/>
          <w:color w:val="0C0C0C"/>
          <w:kern w:val="0"/>
          <w:szCs w:val="28"/>
          <w:lang w:bidi="ar"/>
        </w:rPr>
        <w:t>水行动和水资源刚性约束制度。以水定城、以水定产。严格执行水资源论证制度，严格规范取水许可审批管理，合理分配水资源，确保生态流量。严格保护和合理利用地下水，实行地下水取用水总量控制和水位控制，加快推进地下水压采置换。推动完善水资源调度方案，强化抗旱管理、行蓄洪区管理。加强水资源综合管理支撑能力建设，建立完善水资源综合管理科技创新体系。</w:t>
      </w:r>
    </w:p>
    <w:p w14:paraId="750B3123">
      <w:pPr>
        <w:ind w:firstLine="560"/>
        <w:jc w:val="left"/>
        <w:outlineLvl w:val="2"/>
        <w:rPr>
          <w:b/>
          <w:bCs/>
          <w:szCs w:val="28"/>
        </w:rPr>
      </w:pPr>
      <w:r>
        <w:rPr>
          <w:rFonts w:hint="eastAsia"/>
          <w:b/>
          <w:bCs/>
          <w:szCs w:val="28"/>
        </w:rPr>
        <w:t>三、强化土地资源管控</w:t>
      </w:r>
    </w:p>
    <w:p w14:paraId="31B90728">
      <w:pPr>
        <w:widowControl/>
        <w:spacing w:line="420" w:lineRule="auto"/>
        <w:ind w:firstLine="560"/>
        <w:jc w:val="left"/>
        <w:rPr>
          <w:szCs w:val="28"/>
        </w:rPr>
      </w:pPr>
      <w:r>
        <w:rPr>
          <w:rFonts w:ascii="仿宋" w:hAnsi="仿宋" w:cs="仿宋"/>
          <w:b/>
          <w:bCs/>
          <w:color w:val="0C0C0C"/>
          <w:kern w:val="0"/>
          <w:szCs w:val="28"/>
          <w:lang w:bidi="ar"/>
        </w:rPr>
        <w:t>严格</w:t>
      </w:r>
      <w:r>
        <w:rPr>
          <w:rFonts w:hint="eastAsia" w:ascii="仿宋" w:hAnsi="仿宋" w:cs="仿宋"/>
          <w:b/>
          <w:bCs/>
          <w:color w:val="0C0C0C"/>
          <w:kern w:val="0"/>
          <w:szCs w:val="28"/>
          <w:lang w:bidi="ar"/>
        </w:rPr>
        <w:t>永久</w:t>
      </w:r>
      <w:r>
        <w:rPr>
          <w:rFonts w:ascii="仿宋" w:hAnsi="仿宋" w:cs="仿宋"/>
          <w:b/>
          <w:bCs/>
          <w:color w:val="0C0C0C"/>
          <w:kern w:val="0"/>
          <w:szCs w:val="28"/>
          <w:lang w:bidi="ar"/>
        </w:rPr>
        <w:t>基本农田保护。</w:t>
      </w:r>
      <w:r>
        <w:rPr>
          <w:rFonts w:hint="eastAsia" w:ascii="仿宋" w:hAnsi="仿宋" w:cs="仿宋"/>
          <w:color w:val="0C0C0C"/>
          <w:kern w:val="0"/>
          <w:szCs w:val="28"/>
          <w:lang w:bidi="ar"/>
        </w:rPr>
        <w:t>永久</w:t>
      </w:r>
      <w:r>
        <w:rPr>
          <w:rFonts w:ascii="仿宋" w:hAnsi="仿宋" w:cs="仿宋"/>
          <w:color w:val="0C0C0C"/>
          <w:kern w:val="0"/>
          <w:szCs w:val="28"/>
          <w:lang w:bidi="ar"/>
        </w:rPr>
        <w:t>基本农田一经划定，实行严格管理、永久保</w:t>
      </w:r>
      <w:r>
        <w:rPr>
          <w:rFonts w:hint="eastAsia" w:ascii="仿宋" w:hAnsi="仿宋" w:cs="仿宋"/>
          <w:color w:val="0C0C0C"/>
          <w:kern w:val="0"/>
          <w:szCs w:val="28"/>
          <w:lang w:bidi="ar"/>
        </w:rPr>
        <w:t xml:space="preserve">护，任何单位和个人不得擅自占用或改变用途。实行耕地保护制度，巩固永久基本农田划定成果，开展永久基本农田质量建设。建立和完善永久基本农田保护负面清单。严防集体土地流转“非农化”，坚持以符合规划和用途管制为前提，严防擅自扩大建设用地规模、乱占滥用耕地。严禁占用永久基本农田挖塘造湖、种植林果、修建绿色通道及其他毁坏永久基本农田种植条件的行为。 </w:t>
      </w:r>
    </w:p>
    <w:p w14:paraId="34FEBD9B">
      <w:pPr>
        <w:ind w:firstLine="560"/>
        <w:jc w:val="left"/>
      </w:pPr>
      <w:r>
        <w:rPr>
          <w:rFonts w:hint="eastAsia" w:ascii="仿宋" w:hAnsi="仿宋" w:cs="仿宋"/>
          <w:b/>
          <w:bCs/>
          <w:color w:val="0C0C0C"/>
          <w:kern w:val="0"/>
          <w:szCs w:val="28"/>
          <w:lang w:bidi="ar"/>
        </w:rPr>
        <w:t>提升土地资源利用效率。</w:t>
      </w:r>
      <w:r>
        <w:rPr>
          <w:rFonts w:hint="eastAsia" w:ascii="仿宋" w:hAnsi="仿宋" w:cs="仿宋"/>
          <w:color w:val="0C0C0C"/>
          <w:kern w:val="0"/>
          <w:szCs w:val="28"/>
          <w:lang w:bidi="ar"/>
        </w:rPr>
        <w:t>实施最严格的节约用地制度，完善建设用地总量和强度双控制度。持续推进低效用地再开发利用。推广节地模式和节地技术应用。继续落实《宿州市工业用地“先租后让”“弹性年限出让”实施细则（试行）》（</w:t>
      </w:r>
      <w:r>
        <w:rPr>
          <w:rFonts w:hint="eastAsia" w:ascii="仿宋" w:hAnsi="仿宋" w:cs="仿宋"/>
          <w:color w:val="333333"/>
          <w:szCs w:val="28"/>
          <w:shd w:val="clear" w:color="auto" w:fill="FFFFFF"/>
        </w:rPr>
        <w:t>宿政办秘</w:t>
      </w:r>
      <w:r>
        <w:rPr>
          <w:color w:val="333333"/>
          <w:szCs w:val="28"/>
          <w:shd w:val="clear" w:color="auto" w:fill="FFFFFF"/>
        </w:rPr>
        <w:t>[2019]11</w:t>
      </w:r>
      <w:r>
        <w:rPr>
          <w:rFonts w:hint="eastAsia" w:ascii="仿宋" w:hAnsi="仿宋" w:cs="仿宋"/>
          <w:color w:val="333333"/>
          <w:szCs w:val="28"/>
          <w:shd w:val="clear" w:color="auto" w:fill="FFFFFF"/>
        </w:rPr>
        <w:t>号）</w:t>
      </w:r>
      <w:r>
        <w:rPr>
          <w:rFonts w:hint="eastAsia" w:ascii="仿宋" w:hAnsi="仿宋" w:cs="仿宋"/>
          <w:color w:val="0C0C0C"/>
          <w:kern w:val="0"/>
          <w:szCs w:val="28"/>
          <w:lang w:bidi="ar"/>
        </w:rPr>
        <w:t>，促进工业项目高效用地。编制城镇低效用地再开发专项规划，规范推进城镇低效用地再开发，积极引导城中村集体建设用地改造开发，推动城镇更新改造和产业转型升级，优化土地利用结构，提升城镇建设用地人口、产业承载能力。</w:t>
      </w:r>
    </w:p>
    <w:p w14:paraId="666C9B70">
      <w:pPr>
        <w:pStyle w:val="3"/>
      </w:pPr>
      <w:bookmarkStart w:id="24" w:name="_Toc27311"/>
      <w:r>
        <w:rPr>
          <w:rFonts w:hint="eastAsia"/>
        </w:rPr>
        <w:t>第二节 倡导绿色低碳发展</w:t>
      </w:r>
      <w:bookmarkEnd w:id="24"/>
    </w:p>
    <w:p w14:paraId="7E4426F1">
      <w:pPr>
        <w:pStyle w:val="4"/>
        <w:spacing w:before="0" w:after="0" w:line="420" w:lineRule="auto"/>
        <w:ind w:firstLine="560"/>
        <w:rPr>
          <w:sz w:val="28"/>
          <w:szCs w:val="28"/>
        </w:rPr>
      </w:pPr>
      <w:r>
        <w:rPr>
          <w:rFonts w:hint="eastAsia"/>
          <w:sz w:val="28"/>
          <w:szCs w:val="28"/>
        </w:rPr>
        <w:t>一、积极推动产业结构调整</w:t>
      </w:r>
    </w:p>
    <w:p w14:paraId="51DBC0E0">
      <w:pPr>
        <w:spacing w:line="420" w:lineRule="auto"/>
        <w:ind w:firstLine="560"/>
        <w:rPr>
          <w:szCs w:val="28"/>
        </w:rPr>
      </w:pPr>
      <w:r>
        <w:rPr>
          <w:rFonts w:hint="eastAsia"/>
          <w:b/>
          <w:bCs/>
          <w:szCs w:val="28"/>
        </w:rPr>
        <w:t>加快空间结构调整。</w:t>
      </w:r>
      <w:r>
        <w:rPr>
          <w:rFonts w:hint="eastAsia"/>
          <w:szCs w:val="28"/>
        </w:rPr>
        <w:t>大力推动并落实生态保护红线、环境质量底线、资源利用上线以及生态环境准入清单“三线一单”成果应用。推动“三线一单”与环境质量、排污许可、监测执法等数据系统的互联互通，实现管控单元和管控要求固化和动态管理，推动“三线一单”信息管理平台与政务大数据互通互联，实行数据集中管理、查询、应用、展示和交换，实现共建共享，动态更新。“三线一单”应纳入国土空间规划管控体系，在进行区域资源开发、产业布局和结构调整、城镇建设和重大项目选址时，将环境管控单元及生态环境准入清单作为重要依据，相关政策、规划、方案需说明与“三线一单”的相符性。充分利用多媒体手段，广泛深入宣传“三线一单”空间管控体系的重要作用和意义，提高全民生态环境保护及全域生态分区管控意识。调动广大人民群众和民间团体参与自然资源开发保护监督，支持并鼓励公众和非政府组织参与“三线一单”实施管理过程。</w:t>
      </w:r>
    </w:p>
    <w:p w14:paraId="069D1E8D">
      <w:pPr>
        <w:pStyle w:val="21"/>
        <w:spacing w:line="420" w:lineRule="auto"/>
        <w:ind w:firstLine="560"/>
      </w:pPr>
      <w:r>
        <w:rPr>
          <w:rFonts w:hint="eastAsia" w:ascii="仿宋" w:hAnsi="仿宋" w:eastAsia="仿宋" w:cs="仿宋"/>
          <w:b/>
          <w:bCs/>
          <w:color w:val="0C0C0C"/>
          <w:kern w:val="0"/>
          <w:sz w:val="28"/>
          <w:szCs w:val="28"/>
          <w:lang w:bidi="ar"/>
        </w:rPr>
        <w:t>促进产业结构调整。</w:t>
      </w:r>
      <w:r>
        <w:rPr>
          <w:rFonts w:hint="eastAsia" w:ascii="仿宋" w:hAnsi="仿宋" w:eastAsia="仿宋" w:cs="仿宋"/>
          <w:color w:val="0C0C0C"/>
          <w:kern w:val="0"/>
          <w:sz w:val="28"/>
          <w:szCs w:val="28"/>
          <w:lang w:bidi="ar"/>
        </w:rPr>
        <w:t>首先要加快落后低效和过剩产能淘汰，控制高耗能行业新增产能规模，划分好政府与市场的分界线。通过技术工艺创新、数字经济赋能，推动果蔬食品、机械电子、板材家具、轻纺服装传统主导产业高端化、智能化、绿色化发展，打造更具影响力的特色产业集群。加快发展节能环保产业</w:t>
      </w:r>
      <w:r>
        <w:rPr>
          <w:rFonts w:hint="eastAsia" w:ascii="仿宋" w:hAnsi="仿宋" w:cs="仿宋"/>
          <w:color w:val="0C0C0C"/>
          <w:kern w:val="0"/>
          <w:sz w:val="28"/>
          <w:szCs w:val="28"/>
          <w:lang w:bidi="ar"/>
        </w:rPr>
        <w:t>，</w:t>
      </w:r>
      <w:r>
        <w:rPr>
          <w:rFonts w:hint="eastAsia" w:ascii="仿宋" w:hAnsi="仿宋" w:eastAsia="仿宋" w:cs="仿宋"/>
          <w:color w:val="0C0C0C"/>
          <w:kern w:val="0"/>
          <w:sz w:val="28"/>
          <w:szCs w:val="28"/>
          <w:lang w:bidi="ar"/>
        </w:rPr>
        <w:t>鼓励发展节能环保技术咨询、系统设计、设备制造、工程施工、运营管理等专业化节能环保企业，形成可与国外同类先进企业竞争的主导技术和产品。通过加大政府购买环保服务的力度，推进合同能源管理、合同节水管理、第三方监测、环境污染第三方治理的规模化运营，形成政府和社会资本合作的环境保护服务市场。要坚持技术至上，走创新驱动发展的道路，从而营造和谐的产业发展环境，增长经济效益。对于生产效率较低的企业，应结合企业自身的优势促进其转型升级，同时政府要给予政策和技术上的支持，帮助这些企业成功过渡，从而促进产业结构快速平稳的转型。</w:t>
      </w:r>
    </w:p>
    <w:p w14:paraId="490A380F">
      <w:pPr>
        <w:spacing w:line="420" w:lineRule="auto"/>
        <w:ind w:firstLine="560"/>
      </w:pPr>
      <w:r>
        <w:rPr>
          <w:rFonts w:hint="eastAsia"/>
          <w:b/>
          <w:bCs/>
        </w:rPr>
        <w:t>推动能源结构调整。</w:t>
      </w:r>
      <w:r>
        <w:rPr>
          <w:rFonts w:hint="eastAsia"/>
        </w:rPr>
        <w:t>使清洁低碳能源成为能源消耗增量主体、降低煤炭消费总量。</w:t>
      </w:r>
      <w:r>
        <w:t>建立健全绿色循环低碳产业体系，建设清洁低碳、安全高效的现代能源体系，大力发展资源节约型、环境友好型产业</w:t>
      </w:r>
      <w:r>
        <w:rPr>
          <w:rFonts w:hint="eastAsia"/>
        </w:rPr>
        <w:t>。优化运输结构，更多的利用铁路和水路进行运输，减少载重汽车的尾气排放。</w:t>
      </w:r>
    </w:p>
    <w:p w14:paraId="4E71D98B">
      <w:pPr>
        <w:spacing w:line="420" w:lineRule="auto"/>
        <w:ind w:firstLine="560"/>
      </w:pPr>
      <w:r>
        <w:rPr>
          <w:rFonts w:hint="eastAsia"/>
          <w:b/>
          <w:bCs/>
        </w:rPr>
        <w:t>推进运输结构调整。</w:t>
      </w:r>
      <w:r>
        <w:rPr>
          <w:rFonts w:hint="eastAsia"/>
        </w:rPr>
        <w:t>鼓励新能源汽车使用，包括在远距离运输中加快形成以铁路和水路为主的新格局。同时要强化公路货运车辆超限超载治理，推动道路货运高质量发展，加快构建农村物流网络体系，推广农村物流节点“多站合一”，促进城乡双向流通。着力提升多式联运服务水平，推进跨运输方式企业的混合所有制改革。加强政策支持保障，综合利用市场机制和行政手段，健全运输结构调整长效激励机制。</w:t>
      </w:r>
    </w:p>
    <w:p w14:paraId="2EDCFABE">
      <w:pPr>
        <w:tabs>
          <w:tab w:val="left" w:pos="685"/>
        </w:tabs>
        <w:spacing w:line="420" w:lineRule="auto"/>
        <w:ind w:firstLine="560"/>
        <w:outlineLvl w:val="2"/>
        <w:rPr>
          <w:b/>
          <w:bCs/>
          <w:szCs w:val="28"/>
        </w:rPr>
      </w:pPr>
      <w:r>
        <w:rPr>
          <w:rFonts w:hint="eastAsia"/>
          <w:b/>
          <w:bCs/>
          <w:szCs w:val="28"/>
        </w:rPr>
        <w:t>二、立足优化产业布局</w:t>
      </w:r>
    </w:p>
    <w:p w14:paraId="63098D15">
      <w:pPr>
        <w:widowControl/>
        <w:spacing w:line="420" w:lineRule="auto"/>
        <w:ind w:firstLine="560"/>
        <w:rPr>
          <w:rFonts w:ascii="仿宋" w:hAnsi="仿宋" w:cs="仿宋"/>
          <w:szCs w:val="28"/>
        </w:rPr>
      </w:pPr>
      <w:r>
        <w:rPr>
          <w:rFonts w:hint="eastAsia" w:ascii="仿宋" w:hAnsi="仿宋" w:cs="仿宋"/>
          <w:kern w:val="0"/>
          <w:szCs w:val="28"/>
          <w:lang w:bidi="ar"/>
        </w:rPr>
        <w:t xml:space="preserve">打造皖苏鲁豫交汇区域新兴中心城市。发挥砀山县省际交汇区位优势和承东启西战略定位，抢抓长三角一体化发展、“一带一路”、淮河生态经济带、淮海经济区、中原城市群等国家重大战略机遇，加快重大基础设施建设，培育具有重要影响力的交通枢纽、物流枢纽和信息枢纽，加快构建具有核心竞争力的现代化产业集群，进一步增强中心城市能级，打造成为国内大循环、长三角城市群联通中原城市群的重要节点和长三角强劲活跃增长点。 </w:t>
      </w:r>
    </w:p>
    <w:p w14:paraId="295D4992">
      <w:pPr>
        <w:pStyle w:val="21"/>
        <w:spacing w:line="420" w:lineRule="auto"/>
        <w:ind w:firstLine="560"/>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 xml:space="preserve">打造具有重要影响力的皖北承接产业转移集聚区。着力加快新型工业化进程，高起点高质量承接沪苏浙产业转移和高技术溢出，做大做强智能制造、数字产业、医疗器械、汽车零部件、新材料等新兴主导产业，抢抓长三角产业转移战略机遇，优化砀山制造业发展格局，塑造经济发展新的增长点，打造皖北承接产业转移示范样板。 </w:t>
      </w:r>
    </w:p>
    <w:p w14:paraId="5B8ECEEB">
      <w:pPr>
        <w:widowControl/>
        <w:spacing w:line="420" w:lineRule="auto"/>
        <w:ind w:firstLine="560"/>
        <w:rPr>
          <w:rFonts w:ascii="仿宋" w:hAnsi="仿宋" w:cs="仿宋"/>
          <w:szCs w:val="28"/>
        </w:rPr>
      </w:pPr>
      <w:r>
        <w:rPr>
          <w:rFonts w:hint="eastAsia" w:ascii="仿宋" w:hAnsi="仿宋" w:cs="仿宋"/>
          <w:kern w:val="0"/>
          <w:szCs w:val="28"/>
          <w:lang w:bidi="ar"/>
        </w:rPr>
        <w:t xml:space="preserve">打造城乡融合发展先行区。着力加快新型城镇化进程，以国家现代农业示范区为基础，以加快农业转移人口市民化为重点，推动农村综合改革持续走在全省全国前列，推动城市扩容升级、特色塑造、内涵提升，加快乡村振兴、美丽乡村建设。 </w:t>
      </w:r>
    </w:p>
    <w:p w14:paraId="69166A09">
      <w:pPr>
        <w:spacing w:line="420" w:lineRule="auto"/>
        <w:ind w:firstLine="560"/>
        <w:rPr>
          <w:rFonts w:ascii="仿宋" w:hAnsi="仿宋" w:cs="仿宋"/>
          <w:kern w:val="0"/>
          <w:szCs w:val="28"/>
          <w:lang w:bidi="ar"/>
        </w:rPr>
      </w:pPr>
      <w:r>
        <w:rPr>
          <w:rFonts w:hint="eastAsia" w:ascii="仿宋" w:hAnsi="仿宋" w:cs="仿宋"/>
          <w:kern w:val="0"/>
          <w:szCs w:val="28"/>
          <w:lang w:bidi="ar"/>
        </w:rPr>
        <w:t>打造长三角区域绿色农产品生产加工供应基地。以数字农业产业带建设为引领，聚焦砀山酥梨等特色农副产品和粮食产品深加工，建设一批优质农产品生产基地、优势特色产业带，打造长三角区域数字农业标杆城镇，形成高产值绿色农产品生产加工供应基地，推动由农业大县向现代农业强县转变。</w:t>
      </w:r>
    </w:p>
    <w:p w14:paraId="7403C367">
      <w:pPr>
        <w:spacing w:line="420" w:lineRule="auto"/>
        <w:ind w:firstLine="560"/>
        <w:outlineLvl w:val="2"/>
        <w:rPr>
          <w:b/>
          <w:bCs/>
          <w:szCs w:val="28"/>
        </w:rPr>
      </w:pPr>
      <w:r>
        <w:rPr>
          <w:rFonts w:hint="eastAsia"/>
          <w:b/>
          <w:bCs/>
          <w:szCs w:val="28"/>
        </w:rPr>
        <w:t>三、健全生态系统保护制度</w:t>
      </w:r>
    </w:p>
    <w:p w14:paraId="0F18F569">
      <w:pPr>
        <w:spacing w:line="420" w:lineRule="auto"/>
        <w:ind w:firstLine="560"/>
        <w:rPr>
          <w:rFonts w:ascii="仿宋_GB2312" w:hAnsi="仿宋_GB2312" w:eastAsia="仿宋_GB2312" w:cs="仿宋_GB2312"/>
          <w:sz w:val="32"/>
          <w:szCs w:val="32"/>
        </w:rPr>
      </w:pPr>
      <w:r>
        <w:rPr>
          <w:rFonts w:hint="eastAsia" w:ascii="仿宋" w:hAnsi="仿宋" w:cs="仿宋"/>
          <w:color w:val="000000"/>
          <w:szCs w:val="28"/>
          <w:shd w:val="clear" w:color="auto" w:fill="FFFFFF"/>
        </w:rPr>
        <w:t>统筹“山水林田湖草”一体化保护和修复，加强森林、草原、河流、湖泊、湿地等自然生态保护。加强对重要生态系统的保护和永续利用，构建以森林公园为主体的自然保护地体系，健全森林公园和自然湿地的保护制度。加强县域内</w:t>
      </w:r>
      <w:r>
        <w:rPr>
          <w:color w:val="000000"/>
          <w:szCs w:val="28"/>
          <w:shd w:val="clear" w:color="auto" w:fill="FFFFFF"/>
        </w:rPr>
        <w:t>7</w:t>
      </w:r>
      <w:r>
        <w:rPr>
          <w:rFonts w:hint="eastAsia" w:ascii="仿宋" w:hAnsi="仿宋" w:cs="仿宋"/>
          <w:color w:val="000000"/>
          <w:szCs w:val="28"/>
          <w:shd w:val="clear" w:color="auto" w:fill="FFFFFF"/>
        </w:rPr>
        <w:t>大主要河流的生态保护和系统治理。推行生态复绿补绿增绿。深化林长制改革，进一步发挥林长制体制机制优势，强化督查指导，把林长制改革工作做深做实，着力推进林业增绿增效行动。推进“四旁四边四创”国土绿化提升行动，加快推进造林整地步伐。普及优质树种栽培技术、出台专项激励政策，促进政府与社会合作，种植优质林木，改善生态环境，打造坚固生态屏障。到</w:t>
      </w:r>
      <w:r>
        <w:rPr>
          <w:color w:val="000000"/>
          <w:szCs w:val="28"/>
          <w:shd w:val="clear" w:color="auto" w:fill="FFFFFF"/>
        </w:rPr>
        <w:t>2025年，完成新增和更新造林2.4万</w:t>
      </w:r>
      <w:r>
        <w:rPr>
          <w:rFonts w:hint="eastAsia" w:ascii="仿宋" w:hAnsi="仿宋" w:cs="仿宋"/>
          <w:color w:val="000000"/>
          <w:szCs w:val="28"/>
          <w:shd w:val="clear" w:color="auto" w:fill="FFFFFF"/>
        </w:rPr>
        <w:t>亩，成功创建“国家森林城市”。</w:t>
      </w:r>
    </w:p>
    <w:p w14:paraId="0DDBDE2D">
      <w:pPr>
        <w:pStyle w:val="4"/>
        <w:spacing w:before="0" w:after="0" w:line="420" w:lineRule="auto"/>
        <w:ind w:firstLine="560"/>
        <w:rPr>
          <w:sz w:val="28"/>
          <w:szCs w:val="28"/>
        </w:rPr>
      </w:pPr>
      <w:r>
        <w:rPr>
          <w:rFonts w:hint="eastAsia"/>
          <w:sz w:val="28"/>
          <w:szCs w:val="28"/>
        </w:rPr>
        <w:t>四、倡导绿色生产生活方式</w:t>
      </w:r>
    </w:p>
    <w:p w14:paraId="6B430F2E">
      <w:pPr>
        <w:widowControl/>
        <w:spacing w:line="420" w:lineRule="auto"/>
        <w:ind w:firstLine="560"/>
      </w:pPr>
      <w:r>
        <w:rPr>
          <w:rFonts w:ascii="宋体" w:hAnsi="宋体"/>
          <w:szCs w:val="28"/>
        </w:rPr>
        <w:t>加强生态文明理念传播，积极培育生态文化、生态道德，践行绿色实践，推动全社会逐步形成勤俭节约、绿色低碳、文明健康的生活方式。</w:t>
      </w:r>
      <w:r>
        <w:rPr>
          <w:rFonts w:ascii="宋体" w:hAnsi="宋体"/>
          <w:b/>
          <w:bCs/>
          <w:szCs w:val="28"/>
        </w:rPr>
        <w:t>倡导绿色消费</w:t>
      </w:r>
      <w:r>
        <w:rPr>
          <w:rFonts w:hint="eastAsia" w:ascii="宋体" w:hAnsi="宋体"/>
          <w:szCs w:val="28"/>
        </w:rPr>
        <w:t>，商场、超市、集贸市场等商品零售场所严格执行“限塑令”，减少包装物的消耗，鼓励使用生物基材料的环保包装制品。</w:t>
      </w:r>
      <w:r>
        <w:rPr>
          <w:rFonts w:ascii="仿宋" w:hAnsi="仿宋" w:cs="仿宋"/>
          <w:color w:val="0C0C0C"/>
          <w:kern w:val="0"/>
          <w:szCs w:val="28"/>
          <w:lang w:bidi="ar"/>
        </w:rPr>
        <w:t>严格落实</w:t>
      </w:r>
      <w:r>
        <w:rPr>
          <w:rFonts w:hint="eastAsia" w:ascii="仿宋" w:hAnsi="仿宋" w:cs="仿宋"/>
          <w:color w:val="0C0C0C"/>
          <w:kern w:val="0"/>
          <w:szCs w:val="28"/>
          <w:lang w:bidi="ar"/>
        </w:rPr>
        <w:t>《宿州市制止餐饮浪费行为条例》，坚决制止餐饮浪费行为，积极践行“光盘行动”。推行绿色产品政府采购制度，加快节能家电、高效照明产品、节水器具、绿色建材等绿色产品和新能源汽车推广。推进清洁生产，扩大绿色产品消费。在机关、学校、商场、医院、酒店等场所全面推广使用节能、节水、环保、再生等绿色产品。</w:t>
      </w:r>
    </w:p>
    <w:p w14:paraId="4D929CD5">
      <w:pPr>
        <w:widowControl/>
        <w:spacing w:line="420" w:lineRule="auto"/>
        <w:ind w:firstLine="560"/>
      </w:pPr>
      <w:r>
        <w:rPr>
          <w:rFonts w:hint="eastAsia" w:ascii="宋体" w:hAnsi="宋体"/>
          <w:b/>
          <w:bCs/>
          <w:szCs w:val="28"/>
        </w:rPr>
        <w:t>推行</w:t>
      </w:r>
      <w:r>
        <w:rPr>
          <w:rFonts w:ascii="宋体" w:hAnsi="宋体"/>
          <w:b/>
          <w:bCs/>
          <w:szCs w:val="28"/>
        </w:rPr>
        <w:t>绿色居住</w:t>
      </w:r>
      <w:r>
        <w:rPr>
          <w:rFonts w:hint="eastAsia" w:ascii="宋体" w:hAnsi="宋体"/>
          <w:b/>
          <w:bCs/>
          <w:szCs w:val="28"/>
        </w:rPr>
        <w:t>。</w:t>
      </w:r>
      <w:r>
        <w:rPr>
          <w:rFonts w:ascii="仿宋" w:hAnsi="仿宋" w:cs="仿宋"/>
          <w:color w:val="0C0C0C"/>
          <w:kern w:val="0"/>
          <w:szCs w:val="28"/>
          <w:lang w:bidi="ar"/>
        </w:rPr>
        <w:t>强化绿色建筑评价标识管理，加强对建</w:t>
      </w:r>
      <w:r>
        <w:rPr>
          <w:rFonts w:hint="eastAsia" w:ascii="仿宋" w:hAnsi="仿宋" w:cs="仿宋"/>
          <w:color w:val="0C0C0C"/>
          <w:kern w:val="0"/>
          <w:szCs w:val="28"/>
          <w:lang w:bidi="ar"/>
        </w:rPr>
        <w:t>筑设计方案、施工过程的监管，切实提高节能标准执行率。严格建筑节能专项验收，对达不到强制性标准要求的建筑，不得出具竣工验收合格报告，不允许投入使用并强制进行整改。主城区重点区域内住宅建筑加快采用装配式建筑，装配率不低于</w:t>
      </w:r>
      <w:r>
        <w:rPr>
          <w:rFonts w:eastAsia="宋体"/>
          <w:color w:val="0C0C0C"/>
          <w:kern w:val="0"/>
          <w:szCs w:val="28"/>
          <w:lang w:bidi="ar"/>
        </w:rPr>
        <w:t>30%</w:t>
      </w:r>
      <w:r>
        <w:rPr>
          <w:rFonts w:hint="eastAsia" w:eastAsia="宋体"/>
          <w:color w:val="0C0C0C"/>
          <w:kern w:val="0"/>
          <w:szCs w:val="28"/>
          <w:lang w:bidi="ar"/>
        </w:rPr>
        <w:t>；</w:t>
      </w:r>
      <w:r>
        <w:rPr>
          <w:rFonts w:hint="eastAsia" w:ascii="仿宋" w:hAnsi="仿宋" w:cs="仿宋"/>
          <w:color w:val="0C0C0C"/>
          <w:kern w:val="0"/>
          <w:szCs w:val="28"/>
          <w:lang w:bidi="ar"/>
        </w:rPr>
        <w:t>全县城镇新建民用建筑全面按照绿色建筑标准设计建造，公共建筑按照</w:t>
      </w:r>
      <w:r>
        <w:rPr>
          <w:rFonts w:eastAsia="宋体"/>
          <w:color w:val="0C0C0C"/>
          <w:kern w:val="0"/>
          <w:szCs w:val="28"/>
          <w:lang w:bidi="ar"/>
        </w:rPr>
        <w:t>65%</w:t>
      </w:r>
      <w:r>
        <w:rPr>
          <w:rFonts w:hint="eastAsia" w:ascii="仿宋" w:hAnsi="仿宋" w:cs="仿宋"/>
          <w:color w:val="0C0C0C"/>
          <w:kern w:val="0"/>
          <w:szCs w:val="28"/>
          <w:lang w:bidi="ar"/>
        </w:rPr>
        <w:t>节能目标设计建造。推广利用高性能建筑产品、设备和绿色环保建筑材料。推进既有建筑节能改造。以城市更新拆除重建为抓手，以公共建筑、居住建筑节能改造为重点，进行屋顶绿化、环境覆层、地面绿化等绿色化专项改造。实施</w:t>
      </w:r>
      <w:r>
        <w:rPr>
          <w:rFonts w:hint="eastAsia" w:ascii="仿宋" w:hAnsi="仿宋" w:cs="仿宋"/>
          <w:color w:val="000000"/>
          <w:kern w:val="0"/>
          <w:szCs w:val="28"/>
          <w:lang w:bidi="ar"/>
        </w:rPr>
        <w:t>老旧小区综合改造工程，</w:t>
      </w:r>
      <w:r>
        <w:rPr>
          <w:rFonts w:hint="eastAsia" w:ascii="仿宋" w:hAnsi="仿宋" w:cs="仿宋"/>
          <w:color w:val="0C0C0C"/>
          <w:kern w:val="0"/>
          <w:szCs w:val="28"/>
          <w:lang w:bidi="ar"/>
        </w:rPr>
        <w:t>推广应用无功补偿、变频调速、互联网</w:t>
      </w:r>
      <w:r>
        <w:rPr>
          <w:rFonts w:eastAsia="宋体"/>
          <w:color w:val="0C0C0C"/>
          <w:kern w:val="0"/>
          <w:szCs w:val="28"/>
          <w:lang w:bidi="ar"/>
        </w:rPr>
        <w:t>+</w:t>
      </w:r>
      <w:r>
        <w:rPr>
          <w:rFonts w:hint="eastAsia" w:ascii="仿宋" w:hAnsi="仿宋" w:cs="仿宋"/>
          <w:color w:val="0C0C0C"/>
          <w:kern w:val="0"/>
          <w:szCs w:val="28"/>
          <w:lang w:bidi="ar"/>
        </w:rPr>
        <w:t>电能管理、余热回用、高效换热器、</w:t>
      </w:r>
      <w:r>
        <w:rPr>
          <w:rFonts w:eastAsia="宋体"/>
          <w:color w:val="0C0C0C"/>
          <w:kern w:val="0"/>
          <w:szCs w:val="28"/>
          <w:lang w:bidi="ar"/>
        </w:rPr>
        <w:t>LED</w:t>
      </w:r>
      <w:r>
        <w:rPr>
          <w:rFonts w:hint="eastAsia" w:ascii="仿宋" w:hAnsi="仿宋" w:cs="仿宋"/>
          <w:color w:val="0C0C0C"/>
          <w:kern w:val="0"/>
          <w:szCs w:val="28"/>
          <w:lang w:bidi="ar"/>
        </w:rPr>
        <w:t>灯、回馈发电装置等节能新技术、新设备，提高节能运行管理水平，统筹推动既有居住建筑绿色化改造。</w:t>
      </w:r>
    </w:p>
    <w:p w14:paraId="461AFE80">
      <w:pPr>
        <w:widowControl/>
        <w:spacing w:line="420" w:lineRule="auto"/>
        <w:ind w:firstLine="560"/>
        <w:rPr>
          <w:rFonts w:ascii="仿宋" w:hAnsi="仿宋" w:cs="仿宋"/>
          <w:color w:val="0C0C0C"/>
          <w:kern w:val="0"/>
          <w:szCs w:val="28"/>
          <w:lang w:bidi="ar"/>
        </w:rPr>
      </w:pPr>
      <w:r>
        <w:rPr>
          <w:rFonts w:hint="eastAsia" w:ascii="宋体" w:hAnsi="宋体"/>
          <w:b/>
          <w:bCs/>
          <w:szCs w:val="28"/>
        </w:rPr>
        <w:t>鼓励</w:t>
      </w:r>
      <w:r>
        <w:rPr>
          <w:rFonts w:ascii="宋体" w:hAnsi="宋体"/>
          <w:b/>
          <w:bCs/>
          <w:szCs w:val="28"/>
        </w:rPr>
        <w:t>绿色出行</w:t>
      </w:r>
      <w:r>
        <w:rPr>
          <w:rFonts w:hint="eastAsia" w:ascii="宋体" w:hAnsi="宋体"/>
          <w:szCs w:val="28"/>
        </w:rPr>
        <w:t>。</w:t>
      </w:r>
      <w:r>
        <w:rPr>
          <w:rFonts w:ascii="宋体" w:hAnsi="宋体"/>
          <w:szCs w:val="28"/>
        </w:rPr>
        <w:t>推行绿色办公和绿色采购，</w:t>
      </w:r>
      <w:r>
        <w:rPr>
          <w:rFonts w:hint="eastAsia" w:ascii="宋体" w:hAnsi="宋体"/>
          <w:szCs w:val="28"/>
        </w:rPr>
        <w:t>鼓励步行、自行车和公共交通等低碳出行</w:t>
      </w:r>
      <w:r>
        <w:rPr>
          <w:rFonts w:ascii="宋体" w:hAnsi="宋体"/>
          <w:szCs w:val="28"/>
        </w:rPr>
        <w:t>。</w:t>
      </w:r>
      <w:r>
        <w:rPr>
          <w:rFonts w:hint="eastAsia" w:ascii="仿宋" w:hAnsi="仿宋" w:cs="仿宋"/>
          <w:color w:val="0C0C0C"/>
          <w:kern w:val="0"/>
          <w:szCs w:val="28"/>
          <w:lang w:bidi="ar"/>
        </w:rPr>
        <w:t>深化公交城镇建设，优化车辆运力结构与网络，探索新能源和清洁能源公共交通网络，积极实施砀山县公交车油改电项目。进一步完善城区公共自行车服务系统，满足广大市民出行需求。在主城区全面推广应用新能源汽车，加快纯电动、天然气汽车在交通运输领域的推广应用，并将寄递、物流运输等车辆更新为新能源汽车。建设城市绿色物流体系，支持利用城市现有铁路、物流货场转型升级为城市配送中心，推动发展高铁快递和电商快递班列。制定实施运输结构调整行动计划，降低货物运输空载率。</w:t>
      </w:r>
    </w:p>
    <w:p w14:paraId="6F986DF9">
      <w:pPr>
        <w:spacing w:line="420" w:lineRule="auto"/>
        <w:ind w:firstLine="560"/>
        <w:rPr>
          <w:rFonts w:ascii="宋体" w:hAnsi="宋体"/>
          <w:szCs w:val="28"/>
        </w:rPr>
      </w:pPr>
      <w:r>
        <w:rPr>
          <w:rFonts w:ascii="宋体" w:hAnsi="宋体"/>
          <w:b/>
          <w:bCs/>
          <w:szCs w:val="28"/>
        </w:rPr>
        <w:t>推进垃圾分类</w:t>
      </w:r>
      <w:r>
        <w:rPr>
          <w:rFonts w:hint="eastAsia" w:ascii="宋体" w:hAnsi="宋体"/>
          <w:b/>
          <w:bCs/>
          <w:szCs w:val="28"/>
        </w:rPr>
        <w:t>。</w:t>
      </w:r>
      <w:r>
        <w:rPr>
          <w:rFonts w:ascii="宋体" w:hAnsi="宋体"/>
          <w:szCs w:val="28"/>
        </w:rPr>
        <w:t>加快在全县范围内建立起分类投放、分类收集、分类运输、分类处理的生活垃圾处理系统，实施源头减量和资源化利用。全面建设低碳社会，推进低碳城市建设。</w:t>
      </w:r>
    </w:p>
    <w:p w14:paraId="663E6593">
      <w:pPr>
        <w:bidi w:val="0"/>
      </w:pPr>
    </w:p>
    <w:p w14:paraId="27DA1853"/>
    <w:p w14:paraId="74AB6727">
      <w:pPr>
        <w:bidi w:val="0"/>
      </w:pP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77"/>
      </w:tblGrid>
      <w:tr w14:paraId="70F1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5000" w:type="pct"/>
            <w:vAlign w:val="center"/>
          </w:tcPr>
          <w:p w14:paraId="111B87DB">
            <w:pPr>
              <w:pStyle w:val="23"/>
              <w:ind w:firstLine="0" w:firstLineChars="0"/>
              <w:contextualSpacing/>
              <w:jc w:val="center"/>
              <w:rPr>
                <w:rFonts w:eastAsia="仿宋_GB2312"/>
                <w:b/>
                <w:sz w:val="24"/>
              </w:rPr>
            </w:pPr>
            <w:r>
              <w:rPr>
                <w:rFonts w:eastAsia="仿宋_GB2312"/>
                <w:b/>
                <w:sz w:val="24"/>
              </w:rPr>
              <w:t>专栏1  绿色低碳转型工程</w:t>
            </w:r>
          </w:p>
        </w:tc>
      </w:tr>
      <w:tr w14:paraId="169F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00" w:type="pct"/>
          </w:tcPr>
          <w:p w14:paraId="63C584A6">
            <w:pPr>
              <w:pStyle w:val="23"/>
              <w:spacing w:before="156" w:beforeLines="50" w:line="360" w:lineRule="auto"/>
              <w:ind w:firstLine="0" w:firstLineChars="0"/>
              <w:contextualSpacing/>
              <w:rPr>
                <w:rFonts w:eastAsia="仿宋_GB2312"/>
                <w:b/>
                <w:sz w:val="24"/>
              </w:rPr>
            </w:pPr>
            <w:r>
              <w:rPr>
                <w:rFonts w:hint="eastAsia" w:eastAsia="仿宋_GB2312"/>
                <w:b/>
                <w:sz w:val="24"/>
              </w:rPr>
              <w:t>（1）能源资源节约利用</w:t>
            </w:r>
            <w:r>
              <w:rPr>
                <w:rFonts w:eastAsia="仿宋_GB2312"/>
                <w:b/>
                <w:sz w:val="24"/>
              </w:rPr>
              <w:t>：</w:t>
            </w:r>
            <w:r>
              <w:rPr>
                <w:rFonts w:hint="eastAsia" w:eastAsia="仿宋_GB2312"/>
                <w:bCs/>
                <w:sz w:val="24"/>
              </w:rPr>
              <w:t>砀山县果皮果渣综合利用项目、砀山县餐厨废弃物资源化利用项目、砀山县餐厨垃圾处理再利用项目、砀山县畜禽粪污资源化利用整县推进项目</w:t>
            </w:r>
            <w:r>
              <w:rPr>
                <w:rFonts w:eastAsia="仿宋_GB2312"/>
                <w:sz w:val="24"/>
              </w:rPr>
              <w:t>。</w:t>
            </w:r>
          </w:p>
          <w:p w14:paraId="1290C2AF">
            <w:pPr>
              <w:pStyle w:val="23"/>
              <w:spacing w:line="360" w:lineRule="auto"/>
              <w:ind w:firstLine="0" w:firstLineChars="0"/>
              <w:contextualSpacing/>
              <w:rPr>
                <w:rFonts w:eastAsia="仿宋_GB2312"/>
                <w:b/>
                <w:bCs/>
                <w:sz w:val="24"/>
              </w:rPr>
            </w:pPr>
            <w:r>
              <w:rPr>
                <w:rFonts w:hint="eastAsia" w:eastAsia="仿宋_GB2312"/>
                <w:b/>
                <w:sz w:val="24"/>
              </w:rPr>
              <w:t>（2）既有建筑节能改造</w:t>
            </w:r>
            <w:r>
              <w:rPr>
                <w:rFonts w:eastAsia="仿宋_GB2312"/>
                <w:b/>
                <w:sz w:val="24"/>
              </w:rPr>
              <w:t>：</w:t>
            </w:r>
            <w:r>
              <w:rPr>
                <w:rFonts w:eastAsia="仿宋_GB2312"/>
                <w:bCs/>
                <w:sz w:val="24"/>
              </w:rPr>
              <w:t>砀山县老旧小区综合改造工程</w:t>
            </w:r>
            <w:r>
              <w:rPr>
                <w:rFonts w:hint="eastAsia" w:eastAsia="仿宋_GB2312"/>
                <w:bCs/>
                <w:sz w:val="24"/>
              </w:rPr>
              <w:t>、砀山城区居民集中供热工程。</w:t>
            </w:r>
          </w:p>
        </w:tc>
      </w:tr>
    </w:tbl>
    <w:p w14:paraId="2026C823">
      <w:pPr>
        <w:spacing w:line="420" w:lineRule="auto"/>
        <w:ind w:firstLine="560"/>
      </w:pPr>
    </w:p>
    <w:p w14:paraId="06BE4F3B">
      <w:pPr>
        <w:pStyle w:val="3"/>
      </w:pPr>
      <w:bookmarkStart w:id="25" w:name="_Toc16512"/>
      <w:bookmarkStart w:id="26" w:name="_Toc715"/>
      <w:r>
        <w:rPr>
          <w:rFonts w:hint="eastAsia"/>
        </w:rPr>
        <w:t>第三节 坚持减污降碳，积极应对气候变化</w:t>
      </w:r>
      <w:bookmarkEnd w:id="25"/>
      <w:bookmarkEnd w:id="26"/>
    </w:p>
    <w:p w14:paraId="2EB90118">
      <w:pPr>
        <w:ind w:firstLine="560"/>
      </w:pPr>
      <w:bookmarkStart w:id="27" w:name="_Toc21613"/>
      <w:r>
        <w:rPr>
          <w:rFonts w:hint="eastAsia"/>
        </w:rPr>
        <w:t>坚持减缓和适应并重，以全过程控碳监管为重点、减污降碳协同为路径、“零碳”低碳试点为抓手，有效控制温室气体排放，主动适应气候变化，实施二氧化碳排放达峰行动，推进应对气候变化与经济高质量发展、生态环境高水平保护工作统筹融合。</w:t>
      </w:r>
    </w:p>
    <w:bookmarkEnd w:id="27"/>
    <w:p w14:paraId="4A6825F2">
      <w:pPr>
        <w:keepNext/>
        <w:widowControl/>
        <w:spacing w:line="420" w:lineRule="auto"/>
        <w:ind w:firstLine="560"/>
        <w:outlineLvl w:val="2"/>
      </w:pPr>
      <w:r>
        <w:rPr>
          <w:rFonts w:hint="eastAsia" w:ascii="仿宋" w:hAnsi="仿宋" w:cs="仿宋"/>
          <w:b/>
          <w:bCs/>
          <w:color w:val="0C0C0C"/>
          <w:kern w:val="0"/>
          <w:szCs w:val="28"/>
          <w:lang w:bidi="ar"/>
        </w:rPr>
        <w:t>一、开展“碳达峰”行动</w:t>
      </w:r>
      <w:r>
        <w:rPr>
          <w:rFonts w:ascii="仿宋" w:hAnsi="仿宋" w:cs="仿宋"/>
          <w:b/>
          <w:bCs/>
          <w:color w:val="0C0C0C"/>
          <w:kern w:val="0"/>
          <w:sz w:val="30"/>
          <w:szCs w:val="30"/>
          <w:lang w:bidi="ar"/>
        </w:rPr>
        <w:t xml:space="preserve"> </w:t>
      </w:r>
    </w:p>
    <w:p w14:paraId="28EFFEAD">
      <w:pPr>
        <w:widowControl/>
        <w:spacing w:line="420" w:lineRule="auto"/>
        <w:ind w:firstLine="560"/>
      </w:pPr>
      <w:r>
        <w:rPr>
          <w:rFonts w:hint="eastAsia" w:ascii="仿宋" w:hAnsi="仿宋" w:cs="仿宋"/>
          <w:color w:val="0C0C0C"/>
          <w:kern w:val="0"/>
          <w:szCs w:val="28"/>
          <w:lang w:bidi="ar"/>
        </w:rPr>
        <w:t xml:space="preserve">制定实施砀山县二氧化碳排放达峰行动方案。建立实施以二氧化碳排放强度控制为主、二氧化碳排放总量控制为辅的制度。明确全县和重点行业二氧化碳排放达峰目标、实施方案和保障措施，开展达峰目标任务分解。加强达峰目标过程管理，强化形势分析与激励督导，确保达峰目标如期实现。 </w:t>
      </w:r>
    </w:p>
    <w:p w14:paraId="2267EA03">
      <w:pPr>
        <w:widowControl/>
        <w:spacing w:line="420" w:lineRule="auto"/>
        <w:ind w:firstLine="560"/>
        <w:outlineLvl w:val="2"/>
      </w:pPr>
      <w:r>
        <w:rPr>
          <w:rFonts w:hint="eastAsia" w:ascii="仿宋" w:hAnsi="仿宋" w:cs="仿宋"/>
          <w:b/>
          <w:bCs/>
          <w:color w:val="0C0C0C"/>
          <w:kern w:val="0"/>
          <w:szCs w:val="28"/>
          <w:lang w:bidi="ar"/>
        </w:rPr>
        <w:t>二、控制温室气体排放</w:t>
      </w:r>
      <w:r>
        <w:rPr>
          <w:rFonts w:hint="eastAsia" w:ascii="仿宋" w:hAnsi="仿宋" w:cs="仿宋"/>
          <w:b/>
          <w:bCs/>
          <w:color w:val="0C0C0C"/>
          <w:kern w:val="0"/>
          <w:sz w:val="30"/>
          <w:szCs w:val="30"/>
          <w:lang w:bidi="ar"/>
        </w:rPr>
        <w:t xml:space="preserve"> </w:t>
      </w:r>
    </w:p>
    <w:p w14:paraId="0B379FF2">
      <w:pPr>
        <w:widowControl/>
        <w:spacing w:line="420" w:lineRule="auto"/>
        <w:ind w:firstLine="560"/>
      </w:pPr>
      <w:r>
        <w:rPr>
          <w:rFonts w:hint="eastAsia" w:ascii="仿宋" w:hAnsi="仿宋" w:cs="仿宋"/>
          <w:color w:val="0C0C0C"/>
          <w:kern w:val="0"/>
          <w:szCs w:val="28"/>
          <w:lang w:bidi="ar"/>
        </w:rPr>
        <w:t xml:space="preserve">控制工业行业二氧化碳排放。升级能源、建材领域工艺技术，控制工业过程温室气体排放。推广水泥生产原料替代技术，鼓励利用工业固体废物、转炉渣等非碳酸盐原料生产水泥。控制交通领域二氧化碳排放。大力发展低碳交通，推广节能和新能源车辆，加快充电基础设施建设。加大交通行业节能低碳技术开发与推广，提高新生产汽车二氧化碳排放限额要求。控制建筑领域二氧化碳排放。全面推行绿色低碳建筑。加大绿色低碳建筑管理，强化对公共建筑用能监测和低碳运营管理。 </w:t>
      </w:r>
    </w:p>
    <w:p w14:paraId="21CA40D0">
      <w:pPr>
        <w:widowControl/>
        <w:spacing w:line="420" w:lineRule="auto"/>
        <w:ind w:firstLine="560"/>
        <w:outlineLvl w:val="2"/>
        <w:rPr>
          <w:rFonts w:ascii="仿宋" w:hAnsi="仿宋" w:cs="仿宋"/>
          <w:szCs w:val="28"/>
        </w:rPr>
      </w:pPr>
      <w:r>
        <w:rPr>
          <w:rFonts w:hint="eastAsia" w:ascii="仿宋" w:hAnsi="仿宋" w:cs="仿宋"/>
          <w:b/>
          <w:bCs/>
          <w:color w:val="0C0C0C"/>
          <w:kern w:val="0"/>
          <w:szCs w:val="28"/>
          <w:lang w:bidi="ar"/>
        </w:rPr>
        <w:t xml:space="preserve">三、主动适应气候变化 </w:t>
      </w:r>
    </w:p>
    <w:p w14:paraId="3E78B288">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制定适应气候变化行动计划，在农业、林业、水资源、基础设施等重点领域实施适应气候变化行动。识别气候变化对水资源保障、粮食生产、城乡环境、人体健康、重大工程的影响，加强气候变化风险管理。完善区域防灾减灾及风险应对机制，提升风险应对能力。</w:t>
      </w:r>
    </w:p>
    <w:p w14:paraId="08CE1214">
      <w:pPr>
        <w:widowControl/>
        <w:spacing w:line="360" w:lineRule="auto"/>
        <w:ind w:firstLine="560"/>
        <w:outlineLvl w:val="2"/>
      </w:pPr>
      <w:r>
        <w:rPr>
          <w:rFonts w:hint="eastAsia" w:ascii="仿宋" w:hAnsi="仿宋" w:cs="仿宋"/>
          <w:b/>
          <w:bCs/>
          <w:color w:val="0C0C0C"/>
          <w:kern w:val="0"/>
          <w:szCs w:val="28"/>
          <w:lang w:bidi="ar"/>
        </w:rPr>
        <w:t>四、加强应对气候变化管理</w:t>
      </w:r>
    </w:p>
    <w:p w14:paraId="21270B0D">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开展温室气体统计核算工作，编制更新温室气体排放清单。建立健全企业温室气体数据报送机制，推进企业污染物和温室气体排放相关数据的统一采集，制定完善企业碳排放信息披露制度。加强对温室气体排放重点单位和生态保护红线等重点区域的监管并纳入生态环境监管执法体系。</w:t>
      </w:r>
    </w:p>
    <w:p w14:paraId="516BD60B">
      <w:pPr>
        <w:pStyle w:val="9"/>
        <w:ind w:left="560" w:firstLine="560"/>
        <w:rPr>
          <w:rFonts w:ascii="宋体" w:hAnsi="宋体"/>
          <w:szCs w:val="28"/>
        </w:rPr>
      </w:pPr>
    </w:p>
    <w:p w14:paraId="617FD6D5">
      <w:pPr>
        <w:pStyle w:val="9"/>
        <w:ind w:left="560" w:firstLine="560"/>
        <w:rPr>
          <w:rFonts w:ascii="宋体" w:hAnsi="宋体"/>
          <w:szCs w:val="28"/>
        </w:rPr>
      </w:pPr>
    </w:p>
    <w:p w14:paraId="456D9ED4">
      <w:pPr>
        <w:pStyle w:val="9"/>
        <w:ind w:left="560" w:firstLine="560"/>
        <w:rPr>
          <w:rFonts w:ascii="宋体" w:hAnsi="宋体"/>
          <w:szCs w:val="28"/>
        </w:rPr>
      </w:pPr>
    </w:p>
    <w:p w14:paraId="384662A0">
      <w:pPr>
        <w:pStyle w:val="9"/>
        <w:ind w:left="560" w:firstLine="560"/>
        <w:rPr>
          <w:rFonts w:ascii="宋体" w:hAnsi="宋体"/>
          <w:szCs w:val="28"/>
        </w:rPr>
      </w:pPr>
    </w:p>
    <w:p w14:paraId="0EBF192F">
      <w:pPr>
        <w:pStyle w:val="9"/>
        <w:ind w:left="560" w:firstLine="560"/>
        <w:rPr>
          <w:rFonts w:ascii="宋体" w:hAnsi="宋体"/>
          <w:szCs w:val="28"/>
        </w:rPr>
      </w:pPr>
    </w:p>
    <w:p w14:paraId="2C9D5E04">
      <w:pPr>
        <w:pStyle w:val="2"/>
      </w:pPr>
      <w:bookmarkStart w:id="28" w:name="_Toc1008"/>
      <w:r>
        <w:rPr>
          <w:rFonts w:hint="eastAsia"/>
        </w:rPr>
        <w:t>第四章 持续打好污染防治攻坚战，改善生态环境质量</w:t>
      </w:r>
      <w:bookmarkEnd w:id="28"/>
    </w:p>
    <w:p w14:paraId="3CD0A751">
      <w:pPr>
        <w:pStyle w:val="3"/>
      </w:pPr>
      <w:bookmarkStart w:id="29" w:name="_Toc30473"/>
      <w:r>
        <w:rPr>
          <w:rFonts w:hint="eastAsia"/>
        </w:rPr>
        <w:t>第一节 坚持源头控制和末端治理，持续改善大气环境</w:t>
      </w:r>
      <w:bookmarkEnd w:id="29"/>
    </w:p>
    <w:p w14:paraId="6EDB8F91">
      <w:pPr>
        <w:pStyle w:val="4"/>
        <w:spacing w:before="0" w:after="0" w:line="420" w:lineRule="auto"/>
        <w:ind w:firstLine="600"/>
      </w:pPr>
      <w:r>
        <w:rPr>
          <w:rFonts w:hint="eastAsia"/>
        </w:rPr>
        <w:t>一、做好污染物协同控制</w:t>
      </w:r>
    </w:p>
    <w:p w14:paraId="2D142EDF">
      <w:pPr>
        <w:widowControl/>
        <w:spacing w:line="420" w:lineRule="auto"/>
        <w:ind w:firstLine="560"/>
        <w:jc w:val="left"/>
      </w:pPr>
      <w:r>
        <w:rPr>
          <w:rFonts w:hint="eastAsia"/>
        </w:rPr>
        <w:t>推动城市</w:t>
      </w:r>
      <w:r>
        <w:t>PM</w:t>
      </w:r>
      <w:r>
        <w:rPr>
          <w:vertAlign w:val="subscript"/>
        </w:rPr>
        <w:t xml:space="preserve">2.5 </w:t>
      </w:r>
      <w:r>
        <w:rPr>
          <w:rFonts w:hint="eastAsia"/>
        </w:rPr>
        <w:t>浓度持续下降，</w:t>
      </w:r>
      <w:r>
        <w:t>O</w:t>
      </w:r>
      <w:r>
        <w:rPr>
          <w:vertAlign w:val="subscript"/>
        </w:rPr>
        <w:t>3</w:t>
      </w:r>
      <w:r>
        <w:rPr>
          <w:rFonts w:hint="eastAsia"/>
        </w:rPr>
        <w:t>浓度增长趋势得到有效遏制，并力争有所下降。</w:t>
      </w:r>
      <w:r>
        <w:rPr>
          <w:rFonts w:ascii="仿宋" w:hAnsi="仿宋" w:cs="仿宋"/>
          <w:color w:val="0C0C0C"/>
          <w:kern w:val="0"/>
          <w:szCs w:val="28"/>
          <w:lang w:bidi="ar"/>
        </w:rPr>
        <w:t>开展全</w:t>
      </w:r>
      <w:r>
        <w:rPr>
          <w:rFonts w:hint="eastAsia" w:ascii="仿宋" w:hAnsi="仿宋" w:cs="仿宋"/>
          <w:color w:val="0C0C0C"/>
          <w:kern w:val="0"/>
          <w:szCs w:val="28"/>
          <w:lang w:bidi="ar"/>
        </w:rPr>
        <w:t>县</w:t>
      </w:r>
      <w:r>
        <w:rPr>
          <w:rFonts w:ascii="仿宋" w:hAnsi="仿宋" w:cs="仿宋"/>
          <w:color w:val="0C0C0C"/>
          <w:kern w:val="0"/>
          <w:szCs w:val="28"/>
          <w:lang w:bidi="ar"/>
        </w:rPr>
        <w:t>大气污染物源解析，编制更新大气污染物源排放清单和</w:t>
      </w:r>
      <w:r>
        <w:rPr>
          <w:rFonts w:hint="eastAsia" w:ascii="仿宋" w:hAnsi="仿宋" w:cs="仿宋"/>
          <w:color w:val="0C0C0C"/>
          <w:kern w:val="0"/>
          <w:szCs w:val="28"/>
          <w:lang w:bidi="ar"/>
        </w:rPr>
        <w:t>温室气体排放清单。制定加强</w:t>
      </w:r>
      <w:r>
        <w:t>PM</w:t>
      </w:r>
      <w:r>
        <w:rPr>
          <w:vertAlign w:val="subscript"/>
        </w:rPr>
        <w:t>2.5</w:t>
      </w:r>
      <w:r>
        <w:rPr>
          <w:rFonts w:hint="eastAsia" w:ascii="仿宋" w:hAnsi="仿宋" w:cs="仿宋"/>
          <w:color w:val="0C0C0C"/>
          <w:kern w:val="0"/>
          <w:szCs w:val="28"/>
          <w:lang w:bidi="ar"/>
        </w:rPr>
        <w:t>和</w:t>
      </w:r>
      <w:r>
        <w:t>O</w:t>
      </w:r>
      <w:r>
        <w:rPr>
          <w:vertAlign w:val="subscript"/>
        </w:rPr>
        <w:t>3</w:t>
      </w:r>
      <w:r>
        <w:rPr>
          <w:rFonts w:hint="eastAsia" w:ascii="仿宋" w:hAnsi="仿宋" w:cs="仿宋"/>
          <w:color w:val="0C0C0C"/>
          <w:kern w:val="0"/>
          <w:szCs w:val="28"/>
          <w:lang w:bidi="ar"/>
        </w:rPr>
        <w:t>协同控制持续改善空气质量行动计划，明确控制目标、路线图和时间表，推动</w:t>
      </w:r>
      <w:r>
        <w:t>PM</w:t>
      </w:r>
      <w:r>
        <w:rPr>
          <w:vertAlign w:val="subscript"/>
        </w:rPr>
        <w:t>2.5</w:t>
      </w:r>
      <w:r>
        <w:rPr>
          <w:rFonts w:hint="eastAsia" w:ascii="仿宋" w:hAnsi="仿宋" w:cs="仿宋"/>
          <w:color w:val="0C0C0C"/>
          <w:kern w:val="0"/>
          <w:szCs w:val="28"/>
          <w:lang w:bidi="ar"/>
        </w:rPr>
        <w:t>浓度持续下降，有效遏制</w:t>
      </w:r>
      <w:r>
        <w:t>O</w:t>
      </w:r>
      <w:r>
        <w:rPr>
          <w:vertAlign w:val="subscript"/>
        </w:rPr>
        <w:t>3</w:t>
      </w:r>
      <w:r>
        <w:rPr>
          <w:rFonts w:hint="eastAsia" w:ascii="仿宋" w:hAnsi="仿宋" w:cs="仿宋"/>
          <w:color w:val="0C0C0C"/>
          <w:kern w:val="0"/>
          <w:szCs w:val="28"/>
          <w:lang w:bidi="ar"/>
        </w:rPr>
        <w:t>浓度增长趋势。坚持多污染物源头预防、过程控制和末端治理，加强重点区域、重点时段、重点领域、重点行业治理，强化分区分时分类差异化精细化协同管控，加大对多污染物协同控制的监督考核力度。</w:t>
      </w:r>
    </w:p>
    <w:p w14:paraId="3936D45B">
      <w:pPr>
        <w:pStyle w:val="4"/>
        <w:spacing w:before="0" w:after="0" w:line="420" w:lineRule="auto"/>
        <w:ind w:firstLine="600"/>
      </w:pPr>
      <w:r>
        <w:rPr>
          <w:rFonts w:hint="eastAsia"/>
        </w:rPr>
        <w:t>二、深化工业污染源治理</w:t>
      </w:r>
    </w:p>
    <w:p w14:paraId="1B397134">
      <w:pPr>
        <w:widowControl/>
        <w:spacing w:line="420" w:lineRule="auto"/>
        <w:ind w:firstLine="560"/>
      </w:pPr>
      <w:r>
        <w:rPr>
          <w:rFonts w:ascii="仿宋" w:hAnsi="仿宋" w:cs="仿宋"/>
          <w:b/>
          <w:bCs/>
          <w:color w:val="0C0C0C"/>
          <w:kern w:val="0"/>
          <w:szCs w:val="28"/>
          <w:lang w:bidi="ar"/>
        </w:rPr>
        <w:t>强化“散乱污”企业综合治理</w:t>
      </w:r>
      <w:r>
        <w:rPr>
          <w:rFonts w:ascii="仿宋" w:hAnsi="仿宋" w:cs="仿宋"/>
          <w:color w:val="0C0C0C"/>
          <w:kern w:val="0"/>
          <w:szCs w:val="28"/>
          <w:lang w:bidi="ar"/>
        </w:rPr>
        <w:t>。加强重点行业脱硫、脱销、除尘</w:t>
      </w:r>
      <w:r>
        <w:rPr>
          <w:rFonts w:hint="eastAsia" w:ascii="仿宋" w:hAnsi="仿宋" w:cs="仿宋"/>
          <w:color w:val="0C0C0C"/>
          <w:kern w:val="0"/>
          <w:szCs w:val="28"/>
          <w:lang w:bidi="ar"/>
        </w:rPr>
        <w:t xml:space="preserve">设施运行监管，持续开展水泥、制药等重点行业废气排放提标改造，鼓励企业实施超低排放改造，推广多污染物协同控制技术。 </w:t>
      </w:r>
    </w:p>
    <w:p w14:paraId="14F9B195">
      <w:pPr>
        <w:widowControl/>
        <w:spacing w:line="420" w:lineRule="auto"/>
        <w:ind w:firstLine="560"/>
      </w:pPr>
      <w:r>
        <w:rPr>
          <w:rFonts w:hint="eastAsia" w:ascii="仿宋" w:hAnsi="仿宋" w:cs="仿宋"/>
          <w:b/>
          <w:bCs/>
          <w:color w:val="000000"/>
          <w:kern w:val="0"/>
          <w:szCs w:val="28"/>
          <w:lang w:bidi="ar"/>
        </w:rPr>
        <w:t>深入开展锅炉、炉窑综合整治</w:t>
      </w:r>
      <w:r>
        <w:rPr>
          <w:rFonts w:hint="eastAsia" w:ascii="仿宋" w:hAnsi="仿宋" w:cs="仿宋"/>
          <w:color w:val="000000"/>
          <w:kern w:val="0"/>
          <w:szCs w:val="28"/>
          <w:lang w:bidi="ar"/>
        </w:rPr>
        <w:t>。实施煤化工等重点涉工业炉窑企业深度治理或清洁能源替代，完成</w:t>
      </w:r>
      <w:r>
        <w:rPr>
          <w:rFonts w:eastAsia="宋体"/>
          <w:color w:val="000000"/>
          <w:kern w:val="0"/>
          <w:szCs w:val="28"/>
          <w:lang w:bidi="ar"/>
        </w:rPr>
        <w:t>65</w:t>
      </w:r>
      <w:r>
        <w:rPr>
          <w:rFonts w:hint="eastAsia" w:ascii="仿宋" w:hAnsi="仿宋" w:cs="仿宋"/>
          <w:color w:val="000000"/>
          <w:kern w:val="0"/>
          <w:szCs w:val="28"/>
          <w:lang w:bidi="ar"/>
        </w:rPr>
        <w:t>蒸吨及以上燃煤锅炉节能改造。</w:t>
      </w:r>
      <w:r>
        <w:rPr>
          <w:rFonts w:hint="eastAsia" w:ascii="仿宋" w:hAnsi="仿宋" w:cs="仿宋"/>
          <w:color w:val="0C0C0C"/>
          <w:kern w:val="0"/>
          <w:szCs w:val="28"/>
          <w:lang w:bidi="ar"/>
        </w:rPr>
        <w:t>持续开展散煤污染治理行动，严格查处非法销售、使用非清洁散煤等行为。</w:t>
      </w:r>
    </w:p>
    <w:p w14:paraId="029C1D7C">
      <w:pPr>
        <w:widowControl/>
        <w:spacing w:line="420" w:lineRule="auto"/>
        <w:ind w:firstLine="560"/>
        <w:jc w:val="left"/>
      </w:pPr>
      <w:r>
        <w:rPr>
          <w:rFonts w:hint="eastAsia" w:ascii="仿宋" w:hAnsi="仿宋"/>
          <w:b/>
          <w:bCs/>
          <w:color w:val="000000"/>
        </w:rPr>
        <w:t>深入开展挥发性有机物综合整治。</w:t>
      </w:r>
      <w:r>
        <w:rPr>
          <w:rFonts w:hint="eastAsia"/>
          <w:szCs w:val="28"/>
        </w:rPr>
        <w:t>针对化工、包装印刷、工业涂装等重点行业建立完善源头、过程和末端的</w:t>
      </w:r>
      <w:r>
        <w:rPr>
          <w:szCs w:val="28"/>
        </w:rPr>
        <w:t>VOC</w:t>
      </w:r>
      <w:r>
        <w:rPr>
          <w:rFonts w:hint="eastAsia"/>
          <w:szCs w:val="28"/>
          <w:vertAlign w:val="subscript"/>
        </w:rPr>
        <w:t>S</w:t>
      </w:r>
      <w:r>
        <w:rPr>
          <w:rFonts w:hint="eastAsia"/>
          <w:szCs w:val="28"/>
        </w:rPr>
        <w:t>全过程控制体系，实施</w:t>
      </w:r>
      <w:r>
        <w:rPr>
          <w:szCs w:val="28"/>
        </w:rPr>
        <w:t>VOC</w:t>
      </w:r>
      <w:r>
        <w:rPr>
          <w:rFonts w:hint="eastAsia"/>
          <w:szCs w:val="28"/>
          <w:vertAlign w:val="subscript"/>
        </w:rPr>
        <w:t>S</w:t>
      </w:r>
      <w:r>
        <w:rPr>
          <w:rFonts w:hint="eastAsia"/>
          <w:szCs w:val="28"/>
        </w:rPr>
        <w:t>排放总量控制。大力推进低（无）</w:t>
      </w:r>
      <w:r>
        <w:rPr>
          <w:szCs w:val="28"/>
        </w:rPr>
        <w:t>VOC</w:t>
      </w:r>
      <w:r>
        <w:rPr>
          <w:rFonts w:hint="eastAsia"/>
          <w:szCs w:val="28"/>
          <w:vertAlign w:val="subscript"/>
        </w:rPr>
        <w:t>S</w:t>
      </w:r>
      <w:r>
        <w:rPr>
          <w:rFonts w:hint="eastAsia"/>
          <w:szCs w:val="28"/>
        </w:rPr>
        <w:t>含量涂料、油墨、胶粘剂、清洗剂等原辅材料替代，严格落实国家和地方产品</w:t>
      </w:r>
      <w:r>
        <w:rPr>
          <w:szCs w:val="28"/>
        </w:rPr>
        <w:t>VOC</w:t>
      </w:r>
      <w:r>
        <w:rPr>
          <w:rFonts w:hint="eastAsia"/>
          <w:szCs w:val="28"/>
          <w:vertAlign w:val="subscript"/>
        </w:rPr>
        <w:t>S</w:t>
      </w:r>
      <w:r>
        <w:rPr>
          <w:rFonts w:hint="eastAsia"/>
          <w:szCs w:val="28"/>
        </w:rPr>
        <w:t>含量限值标准；</w:t>
      </w:r>
      <w:r>
        <w:rPr>
          <w:szCs w:val="28"/>
        </w:rPr>
        <w:t>落实《挥发性有机物无组织排放控制标准》</w:t>
      </w:r>
      <w:r>
        <w:rPr>
          <w:rFonts w:hint="eastAsia"/>
          <w:szCs w:val="28"/>
        </w:rPr>
        <w:t>要求</w:t>
      </w:r>
      <w:r>
        <w:rPr>
          <w:szCs w:val="28"/>
        </w:rPr>
        <w:t>，强化</w:t>
      </w:r>
      <w:r>
        <w:rPr>
          <w:rFonts w:hint="eastAsia"/>
          <w:szCs w:val="28"/>
        </w:rPr>
        <w:t>物料</w:t>
      </w:r>
      <w:r>
        <w:rPr>
          <w:szCs w:val="28"/>
        </w:rPr>
        <w:t>储存、转移和输送</w:t>
      </w:r>
      <w:r>
        <w:rPr>
          <w:rFonts w:hint="eastAsia"/>
          <w:szCs w:val="28"/>
        </w:rPr>
        <w:t>，生产过程等的</w:t>
      </w:r>
      <w:r>
        <w:rPr>
          <w:szCs w:val="28"/>
        </w:rPr>
        <w:t>无组织排放控制</w:t>
      </w:r>
      <w:r>
        <w:rPr>
          <w:rFonts w:hint="eastAsia"/>
          <w:szCs w:val="28"/>
        </w:rPr>
        <w:t>；</w:t>
      </w:r>
      <w:r>
        <w:rPr>
          <w:szCs w:val="28"/>
        </w:rPr>
        <w:t>推进建设适宜高效的治污设施</w:t>
      </w:r>
      <w:r>
        <w:rPr>
          <w:rFonts w:hint="eastAsia"/>
          <w:szCs w:val="28"/>
        </w:rPr>
        <w:t>，</w:t>
      </w:r>
      <w:r>
        <w:rPr>
          <w:szCs w:val="28"/>
        </w:rPr>
        <w:t>按照</w:t>
      </w:r>
      <w:r>
        <w:rPr>
          <w:rFonts w:hint="eastAsia"/>
          <w:szCs w:val="28"/>
        </w:rPr>
        <w:t>“</w:t>
      </w:r>
      <w:r>
        <w:rPr>
          <w:szCs w:val="28"/>
        </w:rPr>
        <w:t>应收尽收</w:t>
      </w:r>
      <w:r>
        <w:rPr>
          <w:rFonts w:hint="eastAsia"/>
          <w:szCs w:val="28"/>
        </w:rPr>
        <w:t>”</w:t>
      </w:r>
      <w:r>
        <w:rPr>
          <w:szCs w:val="28"/>
        </w:rPr>
        <w:t>的原则提升废气收集率</w:t>
      </w:r>
      <w:r>
        <w:rPr>
          <w:rFonts w:hint="eastAsia"/>
          <w:szCs w:val="28"/>
        </w:rPr>
        <w:t>。</w:t>
      </w:r>
      <w:r>
        <w:rPr>
          <w:rFonts w:ascii="仿宋" w:hAnsi="仿宋" w:cs="仿宋"/>
          <w:color w:val="0C0C0C"/>
          <w:kern w:val="0"/>
          <w:szCs w:val="28"/>
          <w:lang w:bidi="ar"/>
        </w:rPr>
        <w:t>推进工业园</w:t>
      </w:r>
      <w:r>
        <w:rPr>
          <w:rFonts w:hint="eastAsia" w:ascii="仿宋" w:hAnsi="仿宋" w:cs="仿宋"/>
          <w:color w:val="0C0C0C"/>
          <w:kern w:val="0"/>
          <w:szCs w:val="28"/>
          <w:lang w:bidi="ar"/>
        </w:rPr>
        <w:t>区和企业集群建设涉</w:t>
      </w:r>
      <w:r>
        <w:rPr>
          <w:szCs w:val="28"/>
        </w:rPr>
        <w:t>VOC</w:t>
      </w:r>
      <w:r>
        <w:rPr>
          <w:rFonts w:hint="eastAsia"/>
          <w:szCs w:val="28"/>
          <w:vertAlign w:val="subscript"/>
        </w:rPr>
        <w:t>S</w:t>
      </w:r>
      <w:r>
        <w:rPr>
          <w:rFonts w:hint="eastAsia" w:ascii="仿宋" w:hAnsi="仿宋" w:cs="仿宋"/>
          <w:color w:val="0C0C0C"/>
          <w:kern w:val="0"/>
          <w:szCs w:val="28"/>
          <w:lang w:bidi="ar"/>
        </w:rPr>
        <w:t>“绿岛”项目，建设一批集中涂装中心、活性炭集中处理中心、有机溶剂回收中心等，实施</w:t>
      </w:r>
      <w:r>
        <w:rPr>
          <w:szCs w:val="28"/>
        </w:rPr>
        <w:t>VOC</w:t>
      </w:r>
      <w:r>
        <w:rPr>
          <w:rFonts w:hint="eastAsia"/>
          <w:szCs w:val="28"/>
          <w:vertAlign w:val="subscript"/>
        </w:rPr>
        <w:t>S</w:t>
      </w:r>
      <w:r>
        <w:rPr>
          <w:rFonts w:hint="eastAsia" w:ascii="仿宋" w:hAnsi="仿宋" w:cs="仿宋"/>
          <w:color w:val="0C0C0C"/>
          <w:kern w:val="0"/>
          <w:szCs w:val="28"/>
          <w:lang w:bidi="ar"/>
        </w:rPr>
        <w:t>集中高效处理。</w:t>
      </w:r>
      <w:r>
        <w:rPr>
          <w:rFonts w:hint="eastAsia"/>
          <w:szCs w:val="28"/>
        </w:rPr>
        <w:t>加强对中小企业、挥发性有机物排放量大企业</w:t>
      </w:r>
      <w:r>
        <w:rPr>
          <w:szCs w:val="28"/>
        </w:rPr>
        <w:t>VOC</w:t>
      </w:r>
      <w:r>
        <w:rPr>
          <w:rFonts w:hint="eastAsia"/>
          <w:szCs w:val="28"/>
          <w:vertAlign w:val="subscript"/>
        </w:rPr>
        <w:t>S</w:t>
      </w:r>
      <w:r>
        <w:rPr>
          <w:rFonts w:hint="eastAsia"/>
          <w:szCs w:val="28"/>
        </w:rPr>
        <w:t>综合治理的帮扶指导，推行“一厂一策”制度。加强移动源、汽修、餐饮、油品储运销等非工业源</w:t>
      </w:r>
      <w:r>
        <w:rPr>
          <w:szCs w:val="28"/>
        </w:rPr>
        <w:t>VOC</w:t>
      </w:r>
      <w:r>
        <w:rPr>
          <w:rFonts w:hint="eastAsia"/>
          <w:szCs w:val="28"/>
          <w:vertAlign w:val="subscript"/>
        </w:rPr>
        <w:t>S</w:t>
      </w:r>
      <w:r>
        <w:rPr>
          <w:rFonts w:hint="eastAsia"/>
          <w:szCs w:val="28"/>
        </w:rPr>
        <w:t>综合治理。</w:t>
      </w:r>
      <w:r>
        <w:rPr>
          <w:rFonts w:ascii="仿宋" w:hAnsi="仿宋" w:cs="仿宋"/>
          <w:color w:val="0C0C0C"/>
          <w:kern w:val="0"/>
          <w:szCs w:val="28"/>
          <w:lang w:bidi="ar"/>
        </w:rPr>
        <w:t>在</w:t>
      </w:r>
      <w:r>
        <w:rPr>
          <w:rFonts w:hint="eastAsia" w:ascii="仿宋" w:hAnsi="仿宋" w:cs="仿宋"/>
          <w:color w:val="0C0C0C"/>
          <w:kern w:val="0"/>
          <w:szCs w:val="28"/>
          <w:lang w:bidi="ar"/>
        </w:rPr>
        <w:t>砀山县薛楼板材加工园区和其他重点企业中开展监测、排查、评估、治理设施建设运营等一体化服务，着力提升监测监控能力，加快推进工业园区环境空气质量</w:t>
      </w:r>
      <w:r>
        <w:rPr>
          <w:szCs w:val="28"/>
        </w:rPr>
        <w:t>VOC</w:t>
      </w:r>
      <w:r>
        <w:rPr>
          <w:rFonts w:hint="eastAsia"/>
          <w:szCs w:val="28"/>
          <w:vertAlign w:val="subscript"/>
        </w:rPr>
        <w:t>S</w:t>
      </w:r>
      <w:r>
        <w:rPr>
          <w:rFonts w:hint="eastAsia" w:ascii="仿宋" w:hAnsi="仿宋" w:cs="仿宋"/>
          <w:color w:val="0C0C0C"/>
          <w:kern w:val="0"/>
          <w:szCs w:val="28"/>
          <w:lang w:bidi="ar"/>
        </w:rPr>
        <w:t>监测，鼓励有条件的园区开展走航监测、网格化监测等工作，建立环境信息共享平台和档案管理制度，涉及煤化工类工业园区建设监测预警监控体系。全面开展加油站、储油库和油罐车油气回收治理设施运行维护情况监督检查，推动企业制定实施日查、自检、年检和维护制度。</w:t>
      </w:r>
    </w:p>
    <w:p w14:paraId="2C149D7F">
      <w:pPr>
        <w:pStyle w:val="4"/>
        <w:spacing w:before="0" w:after="0"/>
        <w:ind w:firstLine="600"/>
      </w:pPr>
      <w:r>
        <w:rPr>
          <w:rFonts w:hint="eastAsia"/>
        </w:rPr>
        <w:t>三、推进面源污染治理</w:t>
      </w:r>
    </w:p>
    <w:p w14:paraId="38BD6904">
      <w:pPr>
        <w:widowControl/>
        <w:spacing w:line="420" w:lineRule="auto"/>
        <w:ind w:firstLine="560"/>
        <w:jc w:val="left"/>
        <w:rPr>
          <w:rFonts w:ascii="仿宋" w:hAnsi="仿宋" w:cs="仿宋"/>
          <w:color w:val="000000"/>
          <w:kern w:val="0"/>
          <w:szCs w:val="28"/>
          <w:lang w:bidi="ar"/>
        </w:rPr>
      </w:pPr>
      <w:r>
        <w:rPr>
          <w:rFonts w:hint="eastAsia"/>
          <w:b/>
          <w:bCs/>
          <w:szCs w:val="28"/>
        </w:rPr>
        <w:t>加强扬尘综合整治。</w:t>
      </w:r>
      <w:r>
        <w:rPr>
          <w:rFonts w:hint="eastAsia"/>
          <w:szCs w:val="28"/>
        </w:rPr>
        <w:t>因地制宜稳步发展装配式建筑。建筑施工工地要做到工地周边围挡、物料堆放覆盖、土方开挖湿法作业、路面硬化、出入车辆清洗、渣土车辆密闭运输“六个百分之百”，安装在线监测和视频监控设备，并与县住建局联网。加强各类搅拌站污染整治，推进标准化建设。在城市建成区及居民区、医院、学校等环境敏感区域，严禁现场露天灰土拌合。加强道路扬尘综合整治，提高道路机械化清扫率。严格渣土运输车辆规范化管理，渣土运输车要密闭。</w:t>
      </w:r>
      <w:r>
        <w:rPr>
          <w:rFonts w:ascii="仿宋" w:hAnsi="仿宋" w:cs="仿宋"/>
          <w:color w:val="000000"/>
          <w:kern w:val="0"/>
          <w:szCs w:val="28"/>
          <w:lang w:bidi="ar"/>
        </w:rPr>
        <w:t>加强对全</w:t>
      </w:r>
      <w:r>
        <w:rPr>
          <w:rFonts w:hint="eastAsia" w:ascii="仿宋" w:hAnsi="仿宋" w:cs="仿宋"/>
          <w:color w:val="000000"/>
          <w:kern w:val="0"/>
          <w:szCs w:val="28"/>
          <w:lang w:bidi="ar"/>
        </w:rPr>
        <w:t>县</w:t>
      </w:r>
      <w:r>
        <w:rPr>
          <w:rFonts w:ascii="仿宋" w:hAnsi="仿宋" w:cs="仿宋"/>
          <w:color w:val="000000"/>
          <w:kern w:val="0"/>
          <w:szCs w:val="28"/>
          <w:lang w:bidi="ar"/>
        </w:rPr>
        <w:t>所有物流、工业企业煤堆、料堆、灰堆、产品</w:t>
      </w:r>
      <w:r>
        <w:rPr>
          <w:rFonts w:hint="eastAsia" w:ascii="仿宋" w:hAnsi="仿宋" w:cs="仿宋"/>
          <w:color w:val="000000"/>
          <w:kern w:val="0"/>
          <w:szCs w:val="28"/>
          <w:lang w:bidi="ar"/>
        </w:rPr>
        <w:t>堆场以及水泥搅拌站、沥青生产企业等易产生扬尘的点源污染专项整治。</w:t>
      </w:r>
    </w:p>
    <w:p w14:paraId="6610828F">
      <w:pPr>
        <w:widowControl/>
        <w:spacing w:line="420" w:lineRule="auto"/>
        <w:ind w:firstLine="560"/>
        <w:jc w:val="left"/>
        <w:rPr>
          <w:szCs w:val="28"/>
        </w:rPr>
      </w:pPr>
      <w:r>
        <w:rPr>
          <w:rFonts w:ascii="仿宋" w:hAnsi="仿宋" w:cs="仿宋"/>
          <w:b/>
          <w:bCs/>
          <w:color w:val="0C0C0C"/>
          <w:kern w:val="0"/>
          <w:szCs w:val="28"/>
          <w:lang w:bidi="ar"/>
        </w:rPr>
        <w:t>加强道路扬尘治理</w:t>
      </w:r>
      <w:r>
        <w:rPr>
          <w:rFonts w:ascii="仿宋" w:hAnsi="仿宋" w:cs="仿宋"/>
          <w:color w:val="0C0C0C"/>
          <w:kern w:val="0"/>
          <w:szCs w:val="28"/>
          <w:lang w:bidi="ar"/>
        </w:rPr>
        <w:t>。加强城</w:t>
      </w:r>
      <w:r>
        <w:rPr>
          <w:rFonts w:hint="eastAsia" w:ascii="仿宋" w:hAnsi="仿宋" w:cs="仿宋"/>
          <w:color w:val="0C0C0C"/>
          <w:kern w:val="0"/>
          <w:szCs w:val="28"/>
          <w:lang w:bidi="ar"/>
        </w:rPr>
        <w:t>区</w:t>
      </w:r>
      <w:r>
        <w:rPr>
          <w:rFonts w:ascii="仿宋" w:hAnsi="仿宋" w:cs="仿宋"/>
          <w:color w:val="0C0C0C"/>
          <w:kern w:val="0"/>
          <w:szCs w:val="28"/>
          <w:lang w:bidi="ar"/>
        </w:rPr>
        <w:t>及周边道路两侧裸土、长期闲置土</w:t>
      </w:r>
      <w:r>
        <w:rPr>
          <w:rFonts w:hint="eastAsia" w:ascii="仿宋" w:hAnsi="仿宋" w:cs="仿宋"/>
          <w:color w:val="0C0C0C"/>
          <w:kern w:val="0"/>
          <w:szCs w:val="28"/>
          <w:lang w:bidi="ar"/>
        </w:rPr>
        <w:t xml:space="preserve">地绿化、硬化，对城区周边及物流园区等周边等地临时停车场实施路面硬化。以城乡结合部道路及出入口治理为重点，全面开展城乡结合部周边道路、城市支路、背街里巷扬尘污染综合整治，加大路段冲洗保洁力度，渣土车实施硬覆盖与全密闭运输，推进低尘机械化湿式清扫作业，提高清扫频次，确保大幅度降低道路积尘负荷。 </w:t>
      </w:r>
    </w:p>
    <w:p w14:paraId="01D975EF">
      <w:pPr>
        <w:widowControl/>
        <w:spacing w:line="420" w:lineRule="auto"/>
        <w:ind w:firstLine="560"/>
        <w:jc w:val="left"/>
        <w:rPr>
          <w:szCs w:val="28"/>
        </w:rPr>
      </w:pPr>
      <w:r>
        <w:rPr>
          <w:rFonts w:hint="eastAsia" w:ascii="仿宋" w:hAnsi="仿宋" w:cs="仿宋"/>
          <w:b/>
          <w:bCs/>
          <w:color w:val="000000"/>
          <w:kern w:val="0"/>
          <w:szCs w:val="28"/>
          <w:lang w:bidi="ar"/>
        </w:rPr>
        <w:t>实施餐饮油烟污染治理</w:t>
      </w:r>
      <w:r>
        <w:rPr>
          <w:rFonts w:hint="eastAsia" w:ascii="仿宋" w:hAnsi="仿宋" w:cs="仿宋"/>
          <w:color w:val="000000"/>
          <w:kern w:val="0"/>
          <w:szCs w:val="28"/>
          <w:lang w:bidi="ar"/>
        </w:rPr>
        <w:t>。优化餐饮服务经营场所布局，严格查处未安装、不正常使用油烟净化设施、排放不达标及餐饮项目“无照无证”“占道经营”“露天烧烤”等违法违规行为。全面取缔露天焚烧和法律法规规定的禁止区域露天烧烤，取缔无证无照餐饮企业。完成城市综合体、餐饮集中区的油烟、非甲烷总烃、颗粒物等在线监控安装并与生态环境部门联网，向社会公示，接受社会监督。开展餐饮聚集区环境综合整治，城区餐饮服务经营场所应安装高效油烟净化设施，推广使用高效净化型家用吸油烟机。</w:t>
      </w:r>
    </w:p>
    <w:p w14:paraId="44F390B9">
      <w:pPr>
        <w:spacing w:line="420" w:lineRule="auto"/>
        <w:ind w:firstLine="560"/>
        <w:rPr>
          <w:szCs w:val="28"/>
        </w:rPr>
      </w:pPr>
      <w:r>
        <w:rPr>
          <w:rFonts w:hint="eastAsia" w:ascii="仿宋" w:hAnsi="仿宋" w:cs="仿宋"/>
          <w:b/>
          <w:bCs/>
          <w:color w:val="000000"/>
          <w:kern w:val="0"/>
          <w:szCs w:val="28"/>
          <w:lang w:bidi="ar"/>
        </w:rPr>
        <w:t>加强秸秆综合利用和氨排放利用。</w:t>
      </w:r>
      <w:r>
        <w:rPr>
          <w:rFonts w:hint="eastAsia"/>
          <w:szCs w:val="28"/>
        </w:rPr>
        <w:t>坚持堵疏结合，加大政策支持力度，全面加强秸秆综合利用并形成产业化。切实加强秸秆禁烧管控，在夏收和秋收阶段开展秸秆禁烧专项巡查。加强农村及县城周边垃圾无害化处理和综合利用。控制农业源氨排放，减少化肥农药使用量，增加有机肥使用量。强化畜禽养殖废弃物资源化利用，减少氨挥发排放。</w:t>
      </w:r>
    </w:p>
    <w:p w14:paraId="47220EC7">
      <w:pPr>
        <w:pStyle w:val="4"/>
        <w:spacing w:before="0" w:after="0" w:line="420" w:lineRule="auto"/>
        <w:ind w:firstLine="600"/>
      </w:pPr>
      <w:r>
        <w:rPr>
          <w:rFonts w:hint="eastAsia"/>
        </w:rPr>
        <w:t>四、增强移动源污染控制</w:t>
      </w:r>
    </w:p>
    <w:p w14:paraId="514B3C58">
      <w:pPr>
        <w:widowControl/>
        <w:spacing w:line="420" w:lineRule="auto"/>
        <w:ind w:firstLine="560"/>
        <w:jc w:val="left"/>
      </w:pPr>
      <w:r>
        <w:rPr>
          <w:rFonts w:ascii="仿宋" w:hAnsi="仿宋" w:cs="仿宋"/>
          <w:b/>
          <w:bCs/>
          <w:color w:val="0C0C0C"/>
          <w:kern w:val="0"/>
          <w:szCs w:val="28"/>
          <w:lang w:bidi="ar"/>
        </w:rPr>
        <w:t>加强油品监管执法</w:t>
      </w:r>
      <w:r>
        <w:rPr>
          <w:rFonts w:ascii="仿宋" w:hAnsi="仿宋" w:cs="仿宋"/>
          <w:color w:val="0C0C0C"/>
          <w:kern w:val="0"/>
          <w:szCs w:val="28"/>
          <w:lang w:bidi="ar"/>
        </w:rPr>
        <w:t>。严格执行汽柴油质量标准，保障油品质量，</w:t>
      </w:r>
      <w:r>
        <w:rPr>
          <w:rFonts w:hint="eastAsia" w:ascii="仿宋" w:hAnsi="仿宋" w:cs="仿宋"/>
          <w:color w:val="0C0C0C"/>
          <w:kern w:val="0"/>
          <w:szCs w:val="28"/>
          <w:lang w:bidi="ar"/>
        </w:rPr>
        <w:t xml:space="preserve">严厉打击黑加油站和非标油生产企业，依法追究有关涉案人员相关法律责任。提升油品和车用尿素质量，每月开展油品抽检，常态化开展成品油质量专项检查行动，对大型工业企业、铁路货场自备油库油品质量进行监督抽测，严禁储存和使用非标油，依法依规关停并妥善拆除不符合要求的自备油罐及装置。 </w:t>
      </w:r>
    </w:p>
    <w:p w14:paraId="5577652D">
      <w:pPr>
        <w:widowControl/>
        <w:spacing w:line="420" w:lineRule="auto"/>
        <w:ind w:firstLine="560"/>
        <w:jc w:val="left"/>
      </w:pPr>
      <w:r>
        <w:rPr>
          <w:rFonts w:hint="eastAsia" w:ascii="仿宋" w:hAnsi="仿宋" w:cs="仿宋"/>
          <w:b/>
          <w:bCs/>
          <w:color w:val="0C0C0C"/>
          <w:kern w:val="0"/>
          <w:szCs w:val="28"/>
          <w:lang w:bidi="ar"/>
        </w:rPr>
        <w:t>强化机动车污染防治</w:t>
      </w:r>
      <w:r>
        <w:rPr>
          <w:rFonts w:hint="eastAsia" w:ascii="仿宋" w:hAnsi="仿宋" w:cs="仿宋"/>
          <w:color w:val="0C0C0C"/>
          <w:kern w:val="0"/>
          <w:szCs w:val="28"/>
          <w:lang w:bidi="ar"/>
        </w:rPr>
        <w:t>。加强对国Ⅲ及以下标准的燃油燃气运输车辆管理，推进老旧柴油车深度治理。全面实施国Ⅵ标准。城镇重点管控区全面禁止国Ⅴ以下柴油货车及农机车辆通行，在城镇主要主要入口布设卡点。以运输车队达到</w:t>
      </w:r>
      <w:r>
        <w:rPr>
          <w:rFonts w:eastAsia="宋体"/>
          <w:color w:val="0C0C0C"/>
          <w:kern w:val="0"/>
          <w:szCs w:val="28"/>
          <w:lang w:bidi="ar"/>
        </w:rPr>
        <w:t>10</w:t>
      </w:r>
      <w:r>
        <w:rPr>
          <w:rFonts w:hint="eastAsia" w:ascii="仿宋" w:hAnsi="仿宋" w:cs="仿宋"/>
          <w:color w:val="0C0C0C"/>
          <w:kern w:val="0"/>
          <w:szCs w:val="28"/>
          <w:lang w:bidi="ar"/>
        </w:rPr>
        <w:t>辆重型柴油货车以上企业和物流企业为重点，开展工业企业运输车辆污染治</w:t>
      </w:r>
      <w:r>
        <w:rPr>
          <w:rFonts w:hint="eastAsia" w:ascii="仿宋" w:hAnsi="仿宋" w:cs="仿宋"/>
          <w:color w:val="0C0C0C"/>
          <w:kern w:val="0"/>
          <w:szCs w:val="28"/>
          <w:lang w:val="en-US" w:eastAsia="zh-CN" w:bidi="ar"/>
        </w:rPr>
        <w:t>理</w:t>
      </w:r>
      <w:r>
        <w:rPr>
          <w:rFonts w:hint="eastAsia" w:ascii="仿宋" w:hAnsi="仿宋" w:cs="仿宋"/>
          <w:color w:val="0C0C0C"/>
          <w:kern w:val="0"/>
          <w:szCs w:val="28"/>
          <w:lang w:bidi="ar"/>
        </w:rPr>
        <w:t xml:space="preserve">行动。完善机动车超标排放信息数据库建设，追溯超标排放机动车生产和进口企业、注册登记地、排放检验机构、维修单位、运输企业等，实现全链条监管。 </w:t>
      </w:r>
    </w:p>
    <w:p w14:paraId="188C2B00">
      <w:pPr>
        <w:widowControl/>
        <w:spacing w:line="420" w:lineRule="auto"/>
        <w:ind w:firstLine="560"/>
        <w:jc w:val="left"/>
        <w:outlineLvl w:val="2"/>
        <w:rPr>
          <w:b/>
          <w:bCs/>
        </w:rPr>
      </w:pPr>
      <w:r>
        <w:rPr>
          <w:rFonts w:hint="eastAsia"/>
          <w:b/>
          <w:bCs/>
        </w:rPr>
        <w:t>五、强化重污染天气应对</w:t>
      </w:r>
    </w:p>
    <w:p w14:paraId="4089FDBE">
      <w:pPr>
        <w:spacing w:line="420" w:lineRule="auto"/>
        <w:ind w:firstLine="560"/>
        <w:jc w:val="left"/>
      </w:pPr>
      <w:r>
        <w:rPr>
          <w:rFonts w:hint="eastAsia"/>
        </w:rPr>
        <w:t>持续深化气象与生态环境部门合作，提升重污染天气应急预警能力。完善重度及以上污染天气的区域联合预警机制，健全应急预案体系，及时修编砀山县重污染天气应急预案及重污染天气重点行业应急减排清单，针对重点行业施行绩效分级管控，实施“一厂一策”清单化管理，制定年度应急减排措施 项目清单，及时启动应急响应；实施秋冬季重点行业错峰生产，针对钢铁、建材、铸造、化工等高排放行业，制定错峰生产方案，实施重污染天气差异化管控措施，提高重污染天气应对的及时性、有效性。</w:t>
      </w:r>
    </w:p>
    <w:p w14:paraId="09F042FF">
      <w:pPr>
        <w:widowControl/>
        <w:spacing w:line="420" w:lineRule="auto"/>
        <w:ind w:firstLine="560"/>
        <w:jc w:val="left"/>
        <w:rPr>
          <w:rFonts w:ascii="仿宋" w:hAnsi="仿宋" w:cs="仿宋"/>
          <w:color w:val="000000"/>
          <w:kern w:val="0"/>
          <w:szCs w:val="28"/>
          <w:lang w:bidi="ar"/>
        </w:rPr>
      </w:pPr>
      <w:r>
        <w:rPr>
          <w:rFonts w:ascii="仿宋" w:hAnsi="仿宋" w:cs="仿宋"/>
          <w:color w:val="000000"/>
          <w:kern w:val="0"/>
          <w:szCs w:val="28"/>
          <w:lang w:bidi="ar"/>
        </w:rPr>
        <w:t>强化精准限停产。加大秋冬季工业企业生产调控力度，实施秋冬</w:t>
      </w:r>
      <w:r>
        <w:rPr>
          <w:rFonts w:hint="eastAsia" w:ascii="仿宋" w:hAnsi="仿宋" w:cs="仿宋"/>
          <w:color w:val="000000"/>
          <w:kern w:val="0"/>
          <w:szCs w:val="28"/>
          <w:lang w:bidi="ar"/>
        </w:rPr>
        <w:t>季重点行业错峰生产。制定实施建材、煤化工等高排放行业错峰生产方案。将错峰生产方案细化到企业生产线、工序和设备，载入排污许可证。企业未按期完成治理改造任务的，一并纳入错峰生产方案，实施停产。属于《产业结构调整指导目录》限制类的，提高错峰限产比例或实施停产。</w:t>
      </w:r>
    </w:p>
    <w:p w14:paraId="76E6B467">
      <w:pPr>
        <w:widowControl/>
        <w:spacing w:line="420" w:lineRule="auto"/>
        <w:ind w:left="560" w:firstLine="0" w:firstLineChars="0"/>
        <w:jc w:val="left"/>
        <w:outlineLvl w:val="2"/>
        <w:rPr>
          <w:b/>
          <w:bCs/>
        </w:rPr>
      </w:pPr>
      <w:r>
        <w:rPr>
          <w:rFonts w:hint="eastAsia"/>
          <w:b/>
          <w:bCs/>
        </w:rPr>
        <w:t>六、完善大气污染联防联控机制</w:t>
      </w:r>
    </w:p>
    <w:p w14:paraId="75343B65">
      <w:pPr>
        <w:widowControl/>
        <w:spacing w:line="420" w:lineRule="auto"/>
        <w:ind w:firstLine="560"/>
        <w:jc w:val="left"/>
        <w:rPr>
          <w:szCs w:val="28"/>
        </w:rPr>
      </w:pPr>
      <w:r>
        <w:rPr>
          <w:rFonts w:ascii="仿宋" w:hAnsi="仿宋" w:cs="仿宋"/>
          <w:color w:val="0C0C0C"/>
          <w:kern w:val="0"/>
          <w:szCs w:val="28"/>
          <w:lang w:bidi="ar"/>
        </w:rPr>
        <w:t>推进区域大气污染联防联控，加快建立健全与</w:t>
      </w:r>
      <w:r>
        <w:rPr>
          <w:rFonts w:hint="eastAsia" w:ascii="仿宋" w:hAnsi="仿宋" w:cs="仿宋"/>
          <w:color w:val="0C0C0C"/>
          <w:kern w:val="0"/>
          <w:szCs w:val="28"/>
          <w:lang w:bidi="ar"/>
        </w:rPr>
        <w:t>周边地市的区域协作工作机制，实现统一规划、统一标准、统一环评、统一监测、统一执法、统一污染防治措施，完善重大项目环境影响评价区域会商机制。落实苏鲁皖豫交界区域大气环境监测预报、应急联动、标准统一、信息共享、联合执法、科研合作、重大活动保障等方面协作重点工作，积极参与区域重污染天气联合应对动作。健全区域联合执法信息共享平台，实现区域监管数据互联互通，开展区域大气污染专项治理和联合执法。</w:t>
      </w:r>
    </w:p>
    <w:p w14:paraId="0FA89123">
      <w:pPr>
        <w:pStyle w:val="3"/>
      </w:pPr>
      <w:bookmarkStart w:id="30" w:name="_Toc342"/>
      <w:r>
        <w:rPr>
          <w:rFonts w:hint="eastAsia"/>
        </w:rPr>
        <w:t>第二节 全面深化水污染治理，稳步提升水生态环境</w:t>
      </w:r>
      <w:bookmarkEnd w:id="30"/>
    </w:p>
    <w:p w14:paraId="33173D66">
      <w:pPr>
        <w:ind w:firstLine="560"/>
        <w:jc w:val="left"/>
        <w:outlineLvl w:val="2"/>
        <w:rPr>
          <w:b/>
          <w:bCs/>
        </w:rPr>
      </w:pPr>
      <w:r>
        <w:rPr>
          <w:rFonts w:hint="eastAsia"/>
          <w:b/>
          <w:bCs/>
        </w:rPr>
        <w:t>一、加强“三水”统筹管理</w:t>
      </w:r>
    </w:p>
    <w:p w14:paraId="3C0DBCF8">
      <w:pPr>
        <w:widowControl/>
        <w:spacing w:line="420" w:lineRule="auto"/>
        <w:ind w:firstLine="560"/>
        <w:jc w:val="left"/>
        <w:rPr>
          <w:rFonts w:ascii="仿宋" w:hAnsi="仿宋" w:cs="仿宋"/>
          <w:color w:val="000000"/>
          <w:kern w:val="0"/>
          <w:szCs w:val="28"/>
          <w:lang w:bidi="ar"/>
        </w:rPr>
      </w:pPr>
      <w:r>
        <w:rPr>
          <w:rFonts w:ascii="仿宋" w:hAnsi="仿宋" w:cs="仿宋"/>
          <w:color w:val="000000"/>
          <w:kern w:val="0"/>
          <w:szCs w:val="28"/>
          <w:lang w:bidi="ar"/>
        </w:rPr>
        <w:t>严守用水总量控制红线、用水效率控制红线和水功能区限制纳污</w:t>
      </w:r>
      <w:r>
        <w:rPr>
          <w:rFonts w:hint="eastAsia" w:ascii="仿宋" w:hAnsi="仿宋" w:cs="仿宋"/>
          <w:color w:val="000000"/>
          <w:kern w:val="0"/>
          <w:szCs w:val="28"/>
          <w:lang w:bidi="ar"/>
        </w:rPr>
        <w:t>红线，统筹建立水资源、水生态和水环境监测评价体系。实施流域生态环境资源承载能力监测预警管理，增加生态用水保障，促进水生态恢复。自行加设河湖断面，提升考核断面水质监管能力，确保水环境质量只能更好、不能变坏。持续削减化学需氧量和氨氮等主要水污染物排放总量，加强总磷、总氮排放控制。清理整治侵占河道（湖泊）及乱占滥用岸线等突出问题，恢复河湖水域岸线生态功能。自行加设河湖断面，提升考核断面水质监测能力。</w:t>
      </w:r>
    </w:p>
    <w:p w14:paraId="0B575AA5">
      <w:pPr>
        <w:ind w:firstLine="560"/>
        <w:jc w:val="left"/>
        <w:outlineLvl w:val="2"/>
        <w:rPr>
          <w:b/>
          <w:bCs/>
        </w:rPr>
      </w:pPr>
      <w:r>
        <w:rPr>
          <w:rFonts w:hint="eastAsia"/>
          <w:b/>
          <w:bCs/>
        </w:rPr>
        <w:t>二、深化水污染防治减排</w:t>
      </w:r>
    </w:p>
    <w:p w14:paraId="38B985D4">
      <w:pPr>
        <w:widowControl/>
        <w:spacing w:line="420" w:lineRule="auto"/>
        <w:ind w:firstLine="560"/>
      </w:pPr>
      <w:r>
        <w:rPr>
          <w:rFonts w:ascii="仿宋" w:hAnsi="仿宋" w:cs="仿宋"/>
          <w:b/>
          <w:bCs/>
          <w:color w:val="000000"/>
          <w:kern w:val="0"/>
          <w:szCs w:val="28"/>
          <w:lang w:bidi="ar"/>
        </w:rPr>
        <w:t>深入推进黑臭水体治理。</w:t>
      </w:r>
      <w:r>
        <w:rPr>
          <w:rFonts w:ascii="仿宋" w:hAnsi="仿宋" w:cs="仿宋"/>
          <w:color w:val="000000"/>
          <w:kern w:val="0"/>
          <w:szCs w:val="28"/>
          <w:lang w:bidi="ar"/>
        </w:rPr>
        <w:t>巩固提升城市黑臭水体治理成果，全面</w:t>
      </w:r>
      <w:r>
        <w:rPr>
          <w:rFonts w:hint="eastAsia" w:ascii="仿宋" w:hAnsi="仿宋" w:cs="仿宋"/>
          <w:color w:val="000000"/>
          <w:kern w:val="0"/>
          <w:szCs w:val="28"/>
          <w:lang w:bidi="ar"/>
        </w:rPr>
        <w:t xml:space="preserve">排查农村黑臭水体，开展水质监测，编制黑臭水体整治清单，制定实施整治方案，每季度向社会公开治理进展情况。基本消除城镇及乡村黑臭水体。加强整治完成的黑臭水体管理，开展整治效果评估，实施水质监督检测，强化河道巡查和管养，做好水面岸坡的清理保洁，排口的动态管控治理和活水保质。  </w:t>
      </w:r>
    </w:p>
    <w:p w14:paraId="27D0B594">
      <w:pPr>
        <w:widowControl/>
        <w:spacing w:line="420" w:lineRule="auto"/>
        <w:ind w:firstLine="560"/>
      </w:pPr>
      <w:r>
        <w:rPr>
          <w:rFonts w:hint="eastAsia" w:ascii="仿宋" w:hAnsi="仿宋" w:cs="仿宋"/>
          <w:b/>
          <w:bCs/>
          <w:color w:val="000000"/>
          <w:kern w:val="0"/>
          <w:szCs w:val="28"/>
          <w:lang w:bidi="ar"/>
        </w:rPr>
        <w:t>加强地下水污染防控。</w:t>
      </w:r>
      <w:r>
        <w:rPr>
          <w:rFonts w:hint="eastAsia" w:ascii="仿宋" w:hAnsi="仿宋" w:cs="仿宋"/>
          <w:color w:val="000000"/>
          <w:kern w:val="0"/>
          <w:szCs w:val="28"/>
          <w:lang w:bidi="ar"/>
        </w:rPr>
        <w:t xml:space="preserve">对化学品生产企业、工业集聚区、危险废物处置场、垃圾填埋场等地下水污染源及周边区域，开展地下水环境状况专项调查，评估地下水环境风险，科学划定地下水污染防治重点区。探索城市区域地下水环境风险管控，强化工业聚集区、危险废物处置场和生活垃圾填埋场等地下水污染风险管控，探索地下水污染防治重点区管控模式与配套政策。 </w:t>
      </w:r>
    </w:p>
    <w:p w14:paraId="1CD54138">
      <w:pPr>
        <w:widowControl/>
        <w:spacing w:line="420" w:lineRule="auto"/>
        <w:ind w:firstLine="560"/>
      </w:pPr>
      <w:r>
        <w:rPr>
          <w:rFonts w:hint="eastAsia" w:ascii="仿宋" w:hAnsi="仿宋" w:cs="仿宋"/>
          <w:b/>
          <w:bCs/>
          <w:color w:val="000000"/>
          <w:kern w:val="0"/>
          <w:szCs w:val="28"/>
          <w:lang w:bidi="ar"/>
        </w:rPr>
        <w:t>强化入河排污口排查整治。</w:t>
      </w:r>
      <w:r>
        <w:rPr>
          <w:rFonts w:hint="eastAsia" w:ascii="仿宋" w:hAnsi="仿宋" w:cs="仿宋"/>
          <w:color w:val="000000"/>
          <w:kern w:val="0"/>
          <w:szCs w:val="28"/>
          <w:lang w:bidi="ar"/>
        </w:rPr>
        <w:t xml:space="preserve">进一步开展排污口排查溯源，逐一明确入河排污口责任主体，建立完善排污口监测网络和信息管理系统，加强日常监督管理。划定禁止设施入河排污口、限制设置入河排污口的区域范围，分类确定限制区内入河排污口管控要求。继续加强入河排污口整治，按照“取缔一批、合并一批、规范一批”要求，实施入河排污口分类整治，实施排污口整治销号制度。强化入河排污口规范化建设要求，统一规范排污口设置，明确入河排污口规范化、标志牌、监测监控设施等建设内容。 </w:t>
      </w:r>
    </w:p>
    <w:p w14:paraId="16F15FFE">
      <w:pPr>
        <w:widowControl/>
        <w:spacing w:line="420" w:lineRule="auto"/>
        <w:ind w:firstLine="560"/>
      </w:pPr>
      <w:r>
        <w:rPr>
          <w:rFonts w:hint="eastAsia" w:ascii="仿宋" w:hAnsi="仿宋" w:cs="仿宋"/>
          <w:b/>
          <w:bCs/>
          <w:color w:val="000000"/>
          <w:kern w:val="0"/>
          <w:szCs w:val="28"/>
          <w:lang w:bidi="ar"/>
        </w:rPr>
        <w:t>狠抓工业污染防治。</w:t>
      </w:r>
      <w:r>
        <w:rPr>
          <w:rFonts w:hint="eastAsia" w:ascii="仿宋" w:hAnsi="仿宋" w:cs="仿宋"/>
          <w:color w:val="000000"/>
          <w:kern w:val="0"/>
          <w:szCs w:val="28"/>
          <w:lang w:bidi="ar"/>
        </w:rPr>
        <w:t xml:space="preserve">加大工业园区整治力度，全面推进工业园区污水处理设施建设和污水管网排查整治，加快涉化园区化工废水“分类收集、分质处理、一企一管”建设。对工业园区、企业聚集区污水处理厂、重点行业废水处理设施产生污泥危险废物属性不明的，开展危险特性鉴别工作。实现县级及以下涉水工业园区污水管网覆盖、污水集中处理设施稳定达标运行，加强在线监控设施监管力度。推进工业园区内部废弃物的代谢和资源化利用、水的循环利用和梯级使用任务。 </w:t>
      </w:r>
    </w:p>
    <w:p w14:paraId="6D2E4A75">
      <w:pPr>
        <w:widowControl/>
        <w:spacing w:line="420" w:lineRule="auto"/>
        <w:ind w:firstLine="560"/>
        <w:rPr>
          <w:rFonts w:ascii="仿宋" w:hAnsi="仿宋" w:cs="仿宋"/>
          <w:color w:val="000000"/>
          <w:kern w:val="0"/>
          <w:szCs w:val="28"/>
          <w:lang w:bidi="ar"/>
        </w:rPr>
      </w:pPr>
      <w:r>
        <w:rPr>
          <w:rFonts w:hint="eastAsia" w:ascii="仿宋" w:hAnsi="仿宋" w:cs="仿宋"/>
          <w:b/>
          <w:bCs/>
          <w:color w:val="000000"/>
          <w:kern w:val="0"/>
          <w:szCs w:val="28"/>
          <w:lang w:bidi="ar"/>
        </w:rPr>
        <w:t>推进城乡污水处理设施建设与提标改造。</w:t>
      </w:r>
      <w:r>
        <w:rPr>
          <w:rFonts w:hint="eastAsia" w:ascii="仿宋" w:hAnsi="仿宋" w:cs="仿宋"/>
          <w:color w:val="000000"/>
          <w:kern w:val="0"/>
          <w:szCs w:val="28"/>
          <w:lang w:bidi="ar"/>
        </w:rPr>
        <w:t xml:space="preserve">加快建设污水处理厂尾水排放管道及生态净化缓冲区。推进砀山县城西污水处理厂提标改造及配套设施工程建设。进一步完善配套管网建设，强化城中村、老旧城区和城乡结合部污水截流、收集，提高进水浓度，新建污水处理设施的配套管网应同步设计、同步建设、同步投运。加大雨污分流改造力度，开展排水管网排查，对错接、漏接管网进行检测和修复。加强城区未纳管区域污水基础设施和管网建设。推进污泥无害化处理。开展“六小行业”排污专项整治行动，落实污染治理预处理设施建设，规范排水行为。 </w:t>
      </w:r>
    </w:p>
    <w:p w14:paraId="5F060DC1">
      <w:pPr>
        <w:ind w:firstLine="560"/>
        <w:jc w:val="left"/>
        <w:outlineLvl w:val="2"/>
        <w:rPr>
          <w:b/>
          <w:bCs/>
        </w:rPr>
      </w:pPr>
      <w:r>
        <w:rPr>
          <w:rFonts w:hint="eastAsia"/>
          <w:b/>
          <w:bCs/>
        </w:rPr>
        <w:t>三、加强饮用水源地保护</w:t>
      </w:r>
    </w:p>
    <w:p w14:paraId="6709B91F">
      <w:pPr>
        <w:widowControl/>
        <w:ind w:firstLine="560"/>
      </w:pPr>
      <w:r>
        <w:rPr>
          <w:b/>
          <w:bCs/>
        </w:rPr>
        <w:t>加强县级集中式饮用水水源地环境管理。</w:t>
      </w:r>
      <w:r>
        <w:t>全面加强县级集中式饮用水水源规范化和达标建设，实施集中式饮用水水源地环境保护工程，定期开展城镇和农村</w:t>
      </w:r>
      <w:r>
        <w:rPr>
          <w:rFonts w:hint="eastAsia"/>
        </w:rPr>
        <w:t>“</w:t>
      </w:r>
      <w:r>
        <w:t>千吨万人</w:t>
      </w:r>
      <w:r>
        <w:rPr>
          <w:rFonts w:hint="eastAsia"/>
        </w:rPr>
        <w:t>”</w:t>
      </w:r>
      <w:r>
        <w:t>集中式地下水型饮用水水源保护区及补给区地下水环境状况调查评估，建立和完善地下水型饮用水水源补给区内优先管控污染源清单</w:t>
      </w:r>
      <w:r>
        <w:rPr>
          <w:rFonts w:hint="eastAsia"/>
        </w:rPr>
        <w:t>，</w:t>
      </w:r>
      <w:r>
        <w:t>深入实施水源地专项整治。</w:t>
      </w:r>
      <w:r>
        <w:rPr>
          <w:rFonts w:hint="eastAsia"/>
        </w:rPr>
        <w:t>按照《安徽省“十四五”土壤、地下水和农业农村生态环境保护规划》中要求做好县级饮用水源地保护，建设饮用水源地保护区应急风险防控和体系，开展水源地健康评估工作，及时掌握水源地健康状况。</w:t>
      </w:r>
    </w:p>
    <w:p w14:paraId="53A701B3">
      <w:pPr>
        <w:ind w:firstLine="560"/>
        <w:jc w:val="left"/>
      </w:pPr>
      <w:r>
        <w:rPr>
          <w:b/>
          <w:bCs/>
        </w:rPr>
        <w:t>强化农村饮用水水源地环境保护。</w:t>
      </w:r>
      <w:r>
        <w:rPr>
          <w:rFonts w:hint="eastAsia"/>
        </w:rPr>
        <w:t>结合《安徽省“十四五”土壤、地下水和农业农村生态环境保护规划》的相关内容，围绕水源地保护区规范化建设、污染源及农村环境的综合整治等方面开展农村饮用水水源地保护工作。</w:t>
      </w:r>
      <w:r>
        <w:t>与水利部门建立信息互通机制，及时划定和调整农村</w:t>
      </w:r>
      <w:r>
        <w:rPr>
          <w:rFonts w:hint="eastAsia"/>
        </w:rPr>
        <w:t>“</w:t>
      </w:r>
      <w:r>
        <w:t>千吨万人</w:t>
      </w:r>
      <w:r>
        <w:rPr>
          <w:rFonts w:hint="eastAsia"/>
        </w:rPr>
        <w:t>”</w:t>
      </w:r>
      <w:r>
        <w:t>饮水水源地保护区，确保农村水源地实现工程建设和水源保护</w:t>
      </w:r>
      <w:r>
        <w:rPr>
          <w:rFonts w:hint="eastAsia"/>
        </w:rPr>
        <w:t>“</w:t>
      </w:r>
      <w:r>
        <w:t>两同时</w:t>
      </w:r>
      <w:r>
        <w:rPr>
          <w:rFonts w:hint="eastAsia"/>
        </w:rPr>
        <w:t>”</w:t>
      </w:r>
      <w:r>
        <w:t>，持续开展农村饮用水水源地环境问题排查整治。加强农村供水水质日常监管，提升水质监测预警能力，落实饮用水水源水、出厂水、管网水、末梢水全过程管理要求，按季度对农村</w:t>
      </w:r>
      <w:r>
        <w:rPr>
          <w:rFonts w:hint="eastAsia"/>
        </w:rPr>
        <w:t>“</w:t>
      </w:r>
      <w:r>
        <w:t>千吨万人</w:t>
      </w:r>
      <w:r>
        <w:rPr>
          <w:rFonts w:hint="eastAsia"/>
        </w:rPr>
        <w:t>”</w:t>
      </w:r>
      <w:r>
        <w:t>饮用水水源地水质开展监测并对超标情况进行通报。制定饮用水水源地整治方案和应急预案，通过整治风险源、更换水源地等方式，消除风险隐患，提高农村饮用水水源地保护区污染防治、环境保护和生态建设水平。</w:t>
      </w:r>
    </w:p>
    <w:p w14:paraId="43FD321C">
      <w:pPr>
        <w:pStyle w:val="21"/>
        <w:ind w:firstLine="622"/>
        <w:outlineLvl w:val="2"/>
      </w:pPr>
      <w:r>
        <w:rPr>
          <w:rFonts w:hint="eastAsia"/>
          <w:b/>
          <w:bCs/>
        </w:rPr>
        <w:t>四、推动水生态保护与修复</w:t>
      </w:r>
    </w:p>
    <w:p w14:paraId="2306B975">
      <w:pPr>
        <w:pStyle w:val="27"/>
        <w:ind w:firstLine="562"/>
        <w:rPr>
          <w:rFonts w:ascii="仿宋_GB2312" w:hAnsi="仿宋_GB2312" w:cs="仿宋_GB2312"/>
          <w:color w:val="000000"/>
          <w:lang w:bidi="ar"/>
        </w:rPr>
      </w:pPr>
      <w:r>
        <w:rPr>
          <w:rFonts w:hint="eastAsia" w:ascii="仿宋_GB2312" w:hAnsi="仿宋_GB2312" w:cs="仿宋_GB2312"/>
          <w:b/>
          <w:bCs/>
          <w:color w:val="000000"/>
          <w:lang w:bidi="ar"/>
        </w:rPr>
        <w:t>加强河湖岸线治理。</w:t>
      </w:r>
      <w:r>
        <w:rPr>
          <w:rFonts w:hint="eastAsia" w:ascii="仿宋_GB2312" w:hAnsi="仿宋_GB2312" w:cs="仿宋_GB2312"/>
          <w:color w:val="000000"/>
          <w:lang w:bidi="ar"/>
        </w:rPr>
        <w:t>全面落实河湖长制、断面长制职责，加大巡查力度，加强河道水域岸线管理。建立综合执法体系，加大执法力度，严禁沿河乱占、乱堆、乱建、乱倒现象。强化水域岸线综合整治，针对“四乱”问题、沿河排污口及跨河扳罾、渔网渔簖、僵尸船、住家船等开展集中清查整治。</w:t>
      </w:r>
      <w:r>
        <w:rPr>
          <w:rFonts w:hint="eastAsia"/>
          <w:color w:val="0C0C0C"/>
        </w:rPr>
        <w:t>对乱占用水库、乱围垦河道与滩涂、乱设置河障等行为加大打击力度。</w:t>
      </w:r>
    </w:p>
    <w:p w14:paraId="22D16849">
      <w:pPr>
        <w:pStyle w:val="27"/>
        <w:ind w:firstLine="562"/>
        <w:rPr>
          <w:rFonts w:ascii="仿宋_GB2312" w:hAnsi="仿宋_GB2312" w:cs="仿宋_GB2312"/>
          <w:szCs w:val="21"/>
        </w:rPr>
      </w:pPr>
      <w:r>
        <w:rPr>
          <w:rFonts w:hint="eastAsia" w:ascii="仿宋_GB2312" w:hAnsi="仿宋_GB2312" w:cs="仿宋_GB2312"/>
          <w:b/>
          <w:bCs/>
          <w:color w:val="000000"/>
          <w:lang w:bidi="ar"/>
        </w:rPr>
        <w:t>深化河流沟渠综合整治。</w:t>
      </w:r>
      <w:r>
        <w:rPr>
          <w:rFonts w:hint="eastAsia" w:ascii="仿宋_GB2312" w:hAnsi="仿宋_GB2312" w:cs="仿宋_GB2312"/>
          <w:color w:val="000000"/>
          <w:lang w:bidi="ar"/>
        </w:rPr>
        <w:t>强化城镇规划区内河流及县域界河内的水污染管控，实施“一河一策”。以断面水质达标为导向，深入实施水污染防治行动计划，重点开展利民河、大沙河、顺堤河、环城河、黄河故道等河流沟渠水环境综合整治，实施底泥清淤疏浚、污水截流、生态护岸建设、水生植物修复治理</w:t>
      </w:r>
      <w:r>
        <w:rPr>
          <w:rFonts w:hint="eastAsia" w:ascii="仿宋_GB2312" w:hAnsi="仿宋_GB2312" w:cs="仿宋_GB2312"/>
          <w:lang w:bidi="ar"/>
        </w:rPr>
        <w:t>，减少内源污染影响，增加水环境承载能力和河道自净能力。</w:t>
      </w:r>
      <w:r>
        <w:rPr>
          <w:rFonts w:hint="eastAsia"/>
        </w:rPr>
        <w:t>“十四五”期间，</w:t>
      </w:r>
      <w:r>
        <w:rPr>
          <w:rFonts w:hint="eastAsia"/>
          <w:color w:val="0C0C0C"/>
        </w:rPr>
        <w:t>加强国控、省控和市控断面的</w:t>
      </w:r>
      <w:r>
        <w:rPr>
          <w:rFonts w:hint="eastAsia" w:ascii="仿宋_GB2312" w:hAnsi="仿宋_GB2312" w:cs="仿宋_GB2312"/>
          <w:color w:val="000000"/>
          <w:lang w:bidi="ar"/>
        </w:rPr>
        <w:t>水环境整治力度</w:t>
      </w:r>
      <w:r>
        <w:rPr>
          <w:rFonts w:hint="eastAsia"/>
          <w:color w:val="0C0C0C"/>
        </w:rPr>
        <w:t>，</w:t>
      </w:r>
      <w:r>
        <w:rPr>
          <w:rFonts w:hint="eastAsia" w:ascii="仿宋_GB2312" w:hAnsi="仿宋_GB2312" w:cs="仿宋_GB2312"/>
          <w:lang w:bidi="ar"/>
        </w:rPr>
        <w:t>王引河固口闸断面（国控断面）、大沙河范集桥断面（市控断面）达到</w:t>
      </w:r>
      <w:r>
        <w:rPr>
          <w:rFonts w:hint="eastAsia" w:cs="宋体"/>
          <w:szCs w:val="30"/>
          <w:lang w:bidi="zh-CN"/>
        </w:rPr>
        <w:t>Ⅳ类水质，废黄河-</w:t>
      </w:r>
      <w:r>
        <w:rPr>
          <w:rFonts w:hint="eastAsia" w:ascii="仿宋_GB2312" w:hAnsi="仿宋_GB2312" w:cs="仿宋_GB2312"/>
          <w:lang w:bidi="ar"/>
        </w:rPr>
        <w:t>大沙河皖苏省界（土坝）断面（省控断面）、复新河丰县华楼桥上游150米断面（省控断面）</w:t>
      </w:r>
      <w:r>
        <w:rPr>
          <w:rFonts w:hint="eastAsia" w:ascii="仿宋_GB2312" w:hAnsi="仿宋_GB2312" w:cs="仿宋_GB2312"/>
          <w:szCs w:val="21"/>
        </w:rPr>
        <w:t>要达到Ⅲ类水质。</w:t>
      </w:r>
    </w:p>
    <w:p w14:paraId="3BDB129F">
      <w:pPr>
        <w:pStyle w:val="27"/>
        <w:rPr>
          <w:rFonts w:ascii="仿宋_GB2312" w:hAnsi="仿宋_GB2312" w:cs="仿宋_GB2312"/>
          <w:szCs w:val="21"/>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14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5000" w:type="pct"/>
            <w:vAlign w:val="center"/>
          </w:tcPr>
          <w:p w14:paraId="1231FBD1">
            <w:pPr>
              <w:pStyle w:val="23"/>
              <w:spacing w:line="360" w:lineRule="auto"/>
              <w:ind w:firstLine="0" w:firstLineChars="0"/>
              <w:contextualSpacing/>
              <w:jc w:val="center"/>
              <w:rPr>
                <w:rFonts w:eastAsia="仿宋_GB2312"/>
                <w:b/>
                <w:bCs/>
                <w:sz w:val="24"/>
              </w:rPr>
            </w:pPr>
            <w:r>
              <w:rPr>
                <w:rFonts w:eastAsia="仿宋_GB2312"/>
                <w:b/>
                <w:bCs/>
                <w:sz w:val="24"/>
              </w:rPr>
              <w:t>专栏</w:t>
            </w:r>
            <w:r>
              <w:rPr>
                <w:rFonts w:hint="eastAsia" w:eastAsia="仿宋_GB2312"/>
                <w:b/>
                <w:bCs/>
                <w:sz w:val="24"/>
              </w:rPr>
              <w:t>2</w:t>
            </w:r>
            <w:r>
              <w:rPr>
                <w:rFonts w:eastAsia="仿宋_GB2312"/>
                <w:b/>
                <w:bCs/>
                <w:sz w:val="24"/>
              </w:rPr>
              <w:t xml:space="preserve">  水污染防治重点工程</w:t>
            </w:r>
          </w:p>
        </w:tc>
      </w:tr>
      <w:tr w14:paraId="265C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7E59A50A">
            <w:pPr>
              <w:pStyle w:val="23"/>
              <w:spacing w:line="360" w:lineRule="auto"/>
              <w:ind w:firstLine="0" w:firstLineChars="0"/>
              <w:contextualSpacing/>
              <w:rPr>
                <w:rFonts w:eastAsia="仿宋_GB2312"/>
                <w:sz w:val="24"/>
              </w:rPr>
            </w:pPr>
            <w:r>
              <w:rPr>
                <w:rFonts w:hint="eastAsia" w:eastAsia="仿宋_GB2312"/>
                <w:b/>
                <w:bCs/>
                <w:sz w:val="24"/>
              </w:rPr>
              <w:t>（1）</w:t>
            </w:r>
            <w:r>
              <w:rPr>
                <w:rFonts w:eastAsia="仿宋_GB2312"/>
                <w:b/>
                <w:bCs/>
                <w:sz w:val="24"/>
              </w:rPr>
              <w:t>河流湖库综合治理：</w:t>
            </w:r>
            <w:r>
              <w:rPr>
                <w:rFonts w:hint="eastAsia" w:eastAsia="仿宋_GB2312"/>
                <w:bCs/>
                <w:sz w:val="24"/>
              </w:rPr>
              <w:t>砀山县废黄河、复新河、利民河连通工程，利民河、大沙河连通项目、砀山县黑臭水体治理项目、砀山县水环境治理工程</w:t>
            </w:r>
            <w:r>
              <w:rPr>
                <w:rFonts w:eastAsia="仿宋_GB2312"/>
                <w:bCs/>
                <w:sz w:val="24"/>
              </w:rPr>
              <w:t>。</w:t>
            </w:r>
          </w:p>
          <w:p w14:paraId="69B5037C">
            <w:pPr>
              <w:pStyle w:val="23"/>
              <w:spacing w:line="360" w:lineRule="auto"/>
              <w:ind w:firstLine="0" w:firstLineChars="0"/>
              <w:contextualSpacing/>
              <w:rPr>
                <w:rFonts w:eastAsia="仿宋_GB2312"/>
                <w:b/>
                <w:bCs/>
                <w:sz w:val="24"/>
              </w:rPr>
            </w:pPr>
            <w:r>
              <w:rPr>
                <w:rFonts w:hint="eastAsia" w:eastAsia="仿宋_GB2312"/>
                <w:b/>
                <w:bCs/>
                <w:sz w:val="24"/>
              </w:rPr>
              <w:t>（2）污水处理基础设施建设</w:t>
            </w:r>
            <w:r>
              <w:rPr>
                <w:rFonts w:eastAsia="仿宋_GB2312"/>
                <w:b/>
                <w:bCs/>
                <w:sz w:val="24"/>
              </w:rPr>
              <w:t>：</w:t>
            </w:r>
            <w:r>
              <w:rPr>
                <w:rFonts w:eastAsia="仿宋_GB2312"/>
                <w:sz w:val="24"/>
              </w:rPr>
              <w:t>砀山县城西污水处理厂</w:t>
            </w:r>
            <w:r>
              <w:rPr>
                <w:rFonts w:hint="eastAsia" w:eastAsia="仿宋_GB2312"/>
                <w:sz w:val="24"/>
              </w:rPr>
              <w:t>、砀山县城市污水处理提质增效工程项目、砀山县镇（园区）建成区污水治理提质增效管网项目</w:t>
            </w:r>
            <w:r>
              <w:rPr>
                <w:rFonts w:eastAsia="仿宋_GB2312"/>
                <w:sz w:val="24"/>
              </w:rPr>
              <w:t>。</w:t>
            </w:r>
          </w:p>
          <w:p w14:paraId="58AFE042">
            <w:pPr>
              <w:pStyle w:val="23"/>
              <w:spacing w:line="360" w:lineRule="auto"/>
              <w:ind w:firstLine="0" w:firstLineChars="0"/>
              <w:contextualSpacing/>
              <w:rPr>
                <w:rFonts w:eastAsia="仿宋_GB2312"/>
                <w:b/>
                <w:bCs/>
                <w:sz w:val="24"/>
              </w:rPr>
            </w:pPr>
            <w:r>
              <w:rPr>
                <w:rFonts w:hint="eastAsia" w:eastAsia="仿宋_GB2312"/>
                <w:b/>
                <w:bCs/>
                <w:sz w:val="24"/>
              </w:rPr>
              <w:t>（3）</w:t>
            </w:r>
            <w:r>
              <w:rPr>
                <w:rFonts w:eastAsia="仿宋_GB2312"/>
                <w:b/>
                <w:bCs/>
                <w:sz w:val="24"/>
              </w:rPr>
              <w:t>饮用水源地建设：</w:t>
            </w:r>
            <w:r>
              <w:rPr>
                <w:rFonts w:eastAsia="仿宋_GB2312"/>
                <w:sz w:val="24"/>
              </w:rPr>
              <w:t>砀山县城地表给水厂</w:t>
            </w:r>
            <w:r>
              <w:rPr>
                <w:rFonts w:hint="eastAsia" w:eastAsia="仿宋_GB2312"/>
                <w:sz w:val="24"/>
              </w:rPr>
              <w:t>、砀山县城乡供水一体化建设、砀山县农村饮水自动化与信息化工程、砀山县农村饮水安全提升工程</w:t>
            </w:r>
            <w:r>
              <w:rPr>
                <w:rFonts w:eastAsia="仿宋_GB2312"/>
                <w:sz w:val="24"/>
              </w:rPr>
              <w:t>。</w:t>
            </w:r>
          </w:p>
          <w:p w14:paraId="4358340C">
            <w:pPr>
              <w:pStyle w:val="23"/>
              <w:spacing w:line="360" w:lineRule="auto"/>
              <w:ind w:firstLine="0" w:firstLineChars="0"/>
              <w:contextualSpacing/>
              <w:rPr>
                <w:rFonts w:eastAsia="仿宋_GB2312"/>
                <w:sz w:val="24"/>
              </w:rPr>
            </w:pPr>
          </w:p>
        </w:tc>
      </w:tr>
    </w:tbl>
    <w:p w14:paraId="7BFA62C8">
      <w:pPr>
        <w:pStyle w:val="3"/>
      </w:pPr>
      <w:bookmarkStart w:id="31" w:name="_Toc8727"/>
      <w:r>
        <w:rPr>
          <w:rFonts w:hint="eastAsia"/>
        </w:rPr>
        <w:t xml:space="preserve">第三节 </w:t>
      </w:r>
      <w:bookmarkStart w:id="32" w:name="_Toc15898"/>
      <w:r>
        <w:rPr>
          <w:rFonts w:hint="eastAsia"/>
        </w:rPr>
        <w:t>加强土壤环境质量监管，坚决维护土壤环境</w:t>
      </w:r>
      <w:bookmarkEnd w:id="31"/>
      <w:bookmarkEnd w:id="32"/>
    </w:p>
    <w:p w14:paraId="288CDB41">
      <w:pPr>
        <w:pStyle w:val="4"/>
        <w:spacing w:before="0" w:after="0"/>
        <w:ind w:firstLine="560"/>
        <w:jc w:val="left"/>
        <w:rPr>
          <w:rFonts w:ascii="仿宋" w:hAnsi="仿宋" w:cs="仿宋"/>
          <w:bCs/>
          <w:color w:val="0C0C0C"/>
          <w:kern w:val="0"/>
          <w:sz w:val="28"/>
          <w:szCs w:val="28"/>
          <w:lang w:bidi="ar"/>
        </w:rPr>
      </w:pPr>
      <w:r>
        <w:rPr>
          <w:rFonts w:hint="eastAsia" w:ascii="仿宋" w:hAnsi="仿宋" w:cs="仿宋"/>
          <w:bCs/>
          <w:color w:val="0C0C0C"/>
          <w:kern w:val="0"/>
          <w:sz w:val="28"/>
          <w:szCs w:val="28"/>
          <w:lang w:bidi="ar"/>
        </w:rPr>
        <w:t>一、全面推进土壤污染源头防控</w:t>
      </w:r>
    </w:p>
    <w:p w14:paraId="12FE5E2D">
      <w:pPr>
        <w:widowControl/>
        <w:spacing w:line="420" w:lineRule="auto"/>
        <w:ind w:firstLine="560"/>
        <w:jc w:val="left"/>
      </w:pPr>
      <w:r>
        <w:rPr>
          <w:rFonts w:ascii="仿宋" w:hAnsi="仿宋" w:cs="仿宋"/>
          <w:color w:val="000000"/>
          <w:kern w:val="0"/>
          <w:szCs w:val="28"/>
          <w:lang w:bidi="ar"/>
        </w:rPr>
        <w:t>强化环境影响源头管控。实施土壤环境影响评价制度。对涉及有</w:t>
      </w:r>
      <w:r>
        <w:rPr>
          <w:rFonts w:hint="eastAsia" w:ascii="仿宋" w:hAnsi="仿宋" w:cs="仿宋"/>
          <w:color w:val="000000"/>
          <w:kern w:val="0"/>
          <w:szCs w:val="28"/>
          <w:lang w:bidi="ar"/>
        </w:rPr>
        <w:t xml:space="preserve">毒有害物质可能造成土壤污染的新（改、扩）建项目，依法进行土壤环境影响评价，提出并落实土壤和地下水污染防治要求。加强空间布局管控。将土壤和地下水环境要求纳入国土空间规划，根据土壤污染状况和风险合理规划土地用途，永久基本农田集中区域禁止规划新建可能造成土壤污染的建设项目。 </w:t>
      </w:r>
    </w:p>
    <w:p w14:paraId="7C55CEE2">
      <w:pPr>
        <w:widowControl/>
        <w:spacing w:line="420" w:lineRule="auto"/>
        <w:ind w:firstLine="560"/>
        <w:jc w:val="left"/>
      </w:pPr>
      <w:r>
        <w:rPr>
          <w:rFonts w:hint="eastAsia" w:ascii="仿宋" w:hAnsi="仿宋" w:cs="仿宋"/>
          <w:color w:val="000000"/>
          <w:kern w:val="0"/>
          <w:szCs w:val="28"/>
          <w:lang w:bidi="ar"/>
        </w:rPr>
        <w:t xml:space="preserve">推动清洁生产和绿色化改造。根据国家规范，针对电镀、煤化工等相关重点行业分批分期提出有关防腐蚀、防泄漏设施和泄漏监测装置的设计、建设和安装要求。所有新、扩、改建项目必须充分体现清洁生产内容，采用先进的生产工艺和设备，把“三废”消除在生产过程中。土壤污染重点监管单位按照《重点监管单位土壤污染隐患排查指南（试行）》的要求进一步开展隐患排查，根据隐患排查台账制定整改方案，鼓励企业针对隐患排查结果，因地制宜实施管道化、密闭化改造，重点区域防腐防渗改造，以及物料、污水、废气管线架空建设和改造，从源头上消除土壤和地下水污染。 </w:t>
      </w:r>
    </w:p>
    <w:p w14:paraId="1B121902">
      <w:pPr>
        <w:ind w:firstLine="560"/>
        <w:jc w:val="left"/>
        <w:rPr>
          <w:rFonts w:ascii="仿宋" w:hAnsi="仿宋" w:cs="仿宋"/>
          <w:color w:val="000000"/>
          <w:kern w:val="0"/>
          <w:szCs w:val="28"/>
          <w:lang w:bidi="ar"/>
        </w:rPr>
      </w:pPr>
      <w:r>
        <w:rPr>
          <w:rFonts w:hint="eastAsia" w:ascii="仿宋" w:hAnsi="仿宋" w:cs="仿宋"/>
          <w:color w:val="000000"/>
          <w:kern w:val="0"/>
          <w:szCs w:val="28"/>
          <w:lang w:bidi="ar"/>
        </w:rPr>
        <w:t>强化重点监管单位监管。对纳入土壤污染重点监管单位名录的企业，监督土壤污染重点监管单位全面落实土壤污染防治义务。定期开展土壤污染重点监管单位周边土壤环境监测。到</w:t>
      </w:r>
      <w:r>
        <w:rPr>
          <w:color w:val="000000"/>
          <w:kern w:val="0"/>
          <w:szCs w:val="28"/>
          <w:lang w:bidi="ar"/>
        </w:rPr>
        <w:t>2025</w:t>
      </w:r>
      <w:r>
        <w:rPr>
          <w:rFonts w:hint="eastAsia" w:ascii="仿宋" w:hAnsi="仿宋" w:cs="仿宋"/>
          <w:color w:val="000000"/>
          <w:kern w:val="0"/>
          <w:szCs w:val="28"/>
          <w:lang w:bidi="ar"/>
        </w:rPr>
        <w:t>年底，土壤污染重点监管单位排污许可证应当全部载明土壤污染防治义务，至少完成一次土壤和地下水隐患排查，制定整改方案和台账并落实。加强对企业拆除活动污染防治的现场检查，督促企业落实拆除活动污染防治措施。</w:t>
      </w:r>
    </w:p>
    <w:p w14:paraId="12A06EA8">
      <w:pPr>
        <w:pStyle w:val="4"/>
        <w:spacing w:before="0" w:after="0"/>
        <w:ind w:firstLine="560"/>
        <w:jc w:val="left"/>
        <w:rPr>
          <w:sz w:val="28"/>
          <w:szCs w:val="28"/>
        </w:rPr>
      </w:pPr>
      <w:r>
        <w:rPr>
          <w:rFonts w:hint="eastAsia"/>
          <w:sz w:val="28"/>
          <w:szCs w:val="28"/>
        </w:rPr>
        <w:t>二、巩固农用地精准分类管理</w:t>
      </w:r>
    </w:p>
    <w:p w14:paraId="50F4C68E">
      <w:pPr>
        <w:widowControl/>
        <w:ind w:firstLine="560"/>
        <w:jc w:val="left"/>
      </w:pPr>
      <w:r>
        <w:rPr>
          <w:rFonts w:hint="eastAsia" w:ascii="仿宋" w:hAnsi="仿宋" w:cs="仿宋"/>
          <w:color w:val="000000"/>
          <w:kern w:val="0"/>
          <w:szCs w:val="28"/>
          <w:lang w:bidi="ar"/>
        </w:rPr>
        <w:t>以全县耕地土壤环境质量类别划分成果为基础，巩固提升农用地分类管理机制。严守优先保护类耕地质量，将符合条件的优先保护类耕地划为永久基本农田，实行高标准建设和严格保护制度，全面建立耕地保护补偿机制。加强严格管控类耕地管理，划定特定农产品严格管控区域，严禁种植食用农产品。</w:t>
      </w:r>
    </w:p>
    <w:p w14:paraId="0852A99A">
      <w:pPr>
        <w:widowControl/>
        <w:spacing w:line="420" w:lineRule="auto"/>
        <w:ind w:firstLine="560"/>
        <w:jc w:val="left"/>
      </w:pPr>
      <w:r>
        <w:rPr>
          <w:rFonts w:hint="eastAsia" w:ascii="仿宋" w:hAnsi="仿宋" w:cs="仿宋"/>
          <w:b/>
          <w:bCs/>
          <w:color w:val="000000"/>
          <w:kern w:val="0"/>
          <w:szCs w:val="28"/>
          <w:lang w:bidi="ar"/>
        </w:rPr>
        <w:t>强化耕地保护力度</w:t>
      </w:r>
      <w:r>
        <w:rPr>
          <w:rFonts w:hint="eastAsia" w:ascii="仿宋" w:hAnsi="仿宋" w:cs="仿宋"/>
          <w:color w:val="000000"/>
          <w:kern w:val="0"/>
          <w:szCs w:val="28"/>
          <w:lang w:bidi="ar"/>
        </w:rPr>
        <w:t xml:space="preserve">。坚持最严格的耕地保护制度，落实永久基本农田等空间管控边界。依据土壤污染防治法，开展永久基本农田集中区域划定试点，在永久基本农田集中区域不得规划新建可能造成土壤污染的建设项目。加大优先保护类耕地保护力度，确保其面积不减少、土壤环境质量不下降。加强农业投入品质量监管，从严查处向农田施用不达标肥料等农业投入品的行为。 </w:t>
      </w:r>
    </w:p>
    <w:p w14:paraId="25075C0F">
      <w:pPr>
        <w:widowControl/>
        <w:spacing w:line="420" w:lineRule="auto"/>
        <w:ind w:firstLine="560"/>
        <w:jc w:val="left"/>
      </w:pPr>
      <w:r>
        <w:rPr>
          <w:rFonts w:hint="eastAsia" w:ascii="仿宋" w:hAnsi="仿宋" w:cs="仿宋"/>
          <w:b/>
          <w:bCs/>
          <w:color w:val="000000"/>
          <w:kern w:val="0"/>
          <w:szCs w:val="28"/>
          <w:lang w:bidi="ar"/>
        </w:rPr>
        <w:t>巩固提升耕地安全利用</w:t>
      </w:r>
      <w:r>
        <w:rPr>
          <w:rFonts w:hint="eastAsia" w:ascii="仿宋" w:hAnsi="仿宋" w:cs="仿宋"/>
          <w:color w:val="000000"/>
          <w:kern w:val="0"/>
          <w:szCs w:val="28"/>
          <w:lang w:bidi="ar"/>
        </w:rPr>
        <w:t>。总结农用地安全利用与修复技术模式，分区分类建立完善安全利用技术库和农作物种植推荐清单。持续推进受污染耕地安全利用，推广应用品种替代、水肥调控、土壤调理等技术，鼓励对安全利用类耕地种植的植物收获物采取离田措施。</w:t>
      </w:r>
    </w:p>
    <w:p w14:paraId="79C6FE36">
      <w:pPr>
        <w:widowControl/>
        <w:spacing w:line="420" w:lineRule="auto"/>
        <w:ind w:firstLine="560"/>
        <w:jc w:val="left"/>
        <w:rPr>
          <w:rFonts w:ascii="仿宋" w:hAnsi="仿宋" w:cs="仿宋"/>
          <w:color w:val="000000"/>
          <w:kern w:val="0"/>
          <w:szCs w:val="28"/>
          <w:lang w:bidi="ar"/>
        </w:rPr>
      </w:pPr>
      <w:r>
        <w:rPr>
          <w:rFonts w:hint="eastAsia" w:ascii="仿宋" w:hAnsi="仿宋" w:cs="仿宋"/>
          <w:b/>
          <w:bCs/>
          <w:color w:val="000000"/>
          <w:kern w:val="0"/>
          <w:szCs w:val="28"/>
          <w:lang w:bidi="ar"/>
        </w:rPr>
        <w:t>动态调整耕地土壤环境质量类别</w:t>
      </w:r>
      <w:r>
        <w:rPr>
          <w:rFonts w:hint="eastAsia" w:ascii="仿宋" w:hAnsi="仿宋" w:cs="仿宋"/>
          <w:color w:val="000000"/>
          <w:kern w:val="0"/>
          <w:szCs w:val="28"/>
          <w:lang w:bidi="ar"/>
        </w:rPr>
        <w:t>。动态调整农用地土壤环境质量类别。根据土壤环境质量例行监测、农用地重点地块监测、农产品检测、治理修复效果评估等，动态调整土壤环境质量类别，并将清单上传全国土壤环境信息化管理平台。未利用地、复垦土地等拟开垦为耕地的，加强土壤污染状况调查，严格进行分类管理。</w:t>
      </w:r>
    </w:p>
    <w:p w14:paraId="07CB2A9C">
      <w:pPr>
        <w:widowControl/>
        <w:spacing w:line="420" w:lineRule="auto"/>
        <w:ind w:firstLine="560"/>
        <w:jc w:val="left"/>
        <w:outlineLvl w:val="2"/>
        <w:rPr>
          <w:szCs w:val="28"/>
        </w:rPr>
      </w:pPr>
      <w:r>
        <w:rPr>
          <w:rFonts w:hint="eastAsia" w:ascii="仿宋" w:hAnsi="仿宋" w:cs="仿宋"/>
          <w:b/>
          <w:bCs/>
          <w:color w:val="0C0C0C"/>
          <w:kern w:val="0"/>
          <w:szCs w:val="28"/>
          <w:lang w:bidi="ar"/>
        </w:rPr>
        <w:t>三、实施建设用地准入管理</w:t>
      </w:r>
      <w:r>
        <w:rPr>
          <w:rFonts w:ascii="仿宋" w:hAnsi="仿宋" w:cs="仿宋"/>
          <w:b/>
          <w:bCs/>
          <w:color w:val="0C0C0C"/>
          <w:kern w:val="0"/>
          <w:szCs w:val="28"/>
          <w:lang w:bidi="ar"/>
        </w:rPr>
        <w:t xml:space="preserve"> </w:t>
      </w:r>
    </w:p>
    <w:p w14:paraId="565D24A2">
      <w:pPr>
        <w:widowControl/>
        <w:spacing w:line="420" w:lineRule="auto"/>
        <w:ind w:firstLine="560"/>
        <w:jc w:val="left"/>
      </w:pPr>
      <w:r>
        <w:rPr>
          <w:rFonts w:hint="eastAsia" w:ascii="仿宋" w:hAnsi="仿宋" w:cs="仿宋"/>
          <w:b/>
          <w:bCs/>
          <w:color w:val="000000"/>
          <w:kern w:val="0"/>
          <w:szCs w:val="28"/>
          <w:lang w:bidi="ar"/>
        </w:rPr>
        <w:t>开展土壤污染状况调查和风险评估</w:t>
      </w:r>
      <w:r>
        <w:rPr>
          <w:rFonts w:hint="eastAsia" w:ascii="仿宋" w:hAnsi="仿宋" w:cs="仿宋"/>
          <w:color w:val="000000"/>
          <w:kern w:val="0"/>
          <w:szCs w:val="28"/>
          <w:lang w:bidi="ar"/>
        </w:rPr>
        <w:t xml:space="preserve">。督促用途变更为住宅、公共管理与公共服务用地以及土壤污染重点监管单位生产经营用地的用途变更、土地使用权收回、转让的地块，进行土壤污染状况调查和风险评估。充分发挥环境大数据辅助监管的作用，对注销、撤销排污许可证企业，及时纳入监管视野，防止腾退地块游离于监管之外。在土地征收、收回、收购以及转让、改变用途等环节，依法督促相关单位调查并上报土壤污染状况。 </w:t>
      </w:r>
    </w:p>
    <w:p w14:paraId="6486246E">
      <w:pPr>
        <w:widowControl/>
        <w:spacing w:line="420" w:lineRule="auto"/>
        <w:ind w:firstLine="560"/>
        <w:jc w:val="left"/>
      </w:pPr>
      <w:r>
        <w:rPr>
          <w:rFonts w:hint="eastAsia" w:ascii="仿宋" w:hAnsi="仿宋" w:cs="仿宋"/>
          <w:b/>
          <w:bCs/>
          <w:color w:val="000000"/>
          <w:kern w:val="0"/>
          <w:szCs w:val="28"/>
          <w:lang w:bidi="ar"/>
        </w:rPr>
        <w:t>合理规划污染地块用途</w:t>
      </w:r>
      <w:r>
        <w:rPr>
          <w:rFonts w:hint="eastAsia" w:ascii="仿宋" w:hAnsi="仿宋" w:cs="仿宋"/>
          <w:color w:val="000000"/>
          <w:kern w:val="0"/>
          <w:szCs w:val="28"/>
          <w:lang w:bidi="ar"/>
        </w:rPr>
        <w:t xml:space="preserve">。在编制国土空间规划等相关规划时，应充分考虑建设用地土壤污染的环境风险，合理确定其土地用途。将农药、化工等行业中的重度污染地块规划为住宅、学校、养老机构等以外的非敏感用地。 </w:t>
      </w:r>
    </w:p>
    <w:p w14:paraId="1878BCCD">
      <w:pPr>
        <w:widowControl/>
        <w:spacing w:line="420" w:lineRule="auto"/>
        <w:ind w:firstLine="560"/>
        <w:jc w:val="left"/>
      </w:pPr>
      <w:r>
        <w:rPr>
          <w:rFonts w:hint="eastAsia" w:ascii="仿宋" w:hAnsi="仿宋" w:cs="仿宋"/>
          <w:b/>
          <w:bCs/>
          <w:color w:val="000000"/>
          <w:kern w:val="0"/>
          <w:szCs w:val="28"/>
          <w:lang w:bidi="ar"/>
        </w:rPr>
        <w:t>严格污染地块准入管理</w:t>
      </w:r>
      <w:r>
        <w:rPr>
          <w:rFonts w:hint="eastAsia" w:ascii="仿宋" w:hAnsi="仿宋" w:cs="仿宋"/>
          <w:color w:val="000000"/>
          <w:kern w:val="0"/>
          <w:szCs w:val="28"/>
          <w:lang w:bidi="ar"/>
        </w:rPr>
        <w:t xml:space="preserve">。列入建设用地土壤污染风险管控和修复名录的地块，不得作为住宅、公共管理与公共服务用地。未达到土壤污染风险评估报告确定的风险管控、修复目标的建设用地地块，禁止开工建设任何与风险管控、修复无关的项目。依法应当开展土壤污染状况调查或风险评估而未开展或尚未完成调查评估的土壤污染风险不明地块，杜绝进入用地程序。完善准入管理机制，严格污染地块用途管制，落实准入管理要求。 </w:t>
      </w:r>
    </w:p>
    <w:p w14:paraId="40FA774F">
      <w:pPr>
        <w:widowControl/>
        <w:spacing w:line="420" w:lineRule="auto"/>
        <w:ind w:firstLine="560"/>
        <w:jc w:val="left"/>
        <w:rPr>
          <w:rFonts w:ascii="仿宋" w:hAnsi="仿宋" w:cs="仿宋"/>
          <w:color w:val="000000"/>
          <w:kern w:val="0"/>
          <w:szCs w:val="28"/>
          <w:lang w:bidi="ar"/>
        </w:rPr>
      </w:pPr>
      <w:r>
        <w:rPr>
          <w:rFonts w:hint="eastAsia" w:ascii="仿宋" w:hAnsi="仿宋" w:cs="仿宋"/>
          <w:b/>
          <w:bCs/>
          <w:color w:val="000000"/>
          <w:kern w:val="0"/>
          <w:szCs w:val="28"/>
          <w:lang w:bidi="ar"/>
        </w:rPr>
        <w:t>合理确定土地开发和使用时序</w:t>
      </w:r>
      <w:r>
        <w:rPr>
          <w:rFonts w:hint="eastAsia" w:ascii="仿宋" w:hAnsi="仿宋" w:cs="仿宋"/>
          <w:color w:val="000000"/>
          <w:kern w:val="0"/>
          <w:szCs w:val="28"/>
          <w:lang w:bidi="ar"/>
        </w:rPr>
        <w:t>。涉及成片污染地块分期分批开发的，以及污染地块周边土地开发的，要优化开发时序，防止受污染土壤及其后续风险管控和修复影响周边拟入住敏感人群，防止引发负面舆情。原则上住宅、公共管理与公共服务等敏感类用地应后开发。</w:t>
      </w:r>
    </w:p>
    <w:p w14:paraId="6E7BB532">
      <w:pPr>
        <w:widowControl/>
        <w:spacing w:line="420" w:lineRule="auto"/>
        <w:ind w:firstLine="560"/>
        <w:jc w:val="left"/>
      </w:pPr>
      <w:r>
        <w:rPr>
          <w:rFonts w:hint="eastAsia" w:ascii="仿宋" w:hAnsi="仿宋" w:cs="仿宋"/>
          <w:b/>
          <w:bCs/>
          <w:color w:val="000000"/>
          <w:kern w:val="0"/>
          <w:szCs w:val="28"/>
          <w:lang w:bidi="ar"/>
        </w:rPr>
        <w:t>强化部门信息共享和联动监管</w:t>
      </w:r>
      <w:r>
        <w:rPr>
          <w:rFonts w:hint="eastAsia" w:ascii="仿宋" w:hAnsi="仿宋" w:cs="仿宋"/>
          <w:color w:val="000000"/>
          <w:kern w:val="0"/>
          <w:szCs w:val="28"/>
          <w:lang w:bidi="ar"/>
        </w:rPr>
        <w:t xml:space="preserve">。自然资源部门及时与生态环境部门共享用途变更为住宅、公共管理与公共服务用地的地块信息，土壤污染重点监管单位生产经营用地用途变更或土地使用权收回、转让信息，涉及疑似污染地块、污染地块空间规划等相关信息。生态环境部门会同自然资源、住房城乡建设等部门，建立污染地块数据库及信息平台，共享疑似污染地块及污染地块的空间信息。进一步完善部门联动监管机制，防止污染地块未开展或未完成土壤污染风险管控和修复，即投入开发建设；鼓励利用卫星遥感、无人机、视频监控等手段开展监督检查。 </w:t>
      </w:r>
    </w:p>
    <w:p w14:paraId="4D730D5D">
      <w:pPr>
        <w:widowControl/>
        <w:spacing w:line="420" w:lineRule="auto"/>
        <w:ind w:firstLine="560"/>
        <w:jc w:val="left"/>
      </w:pPr>
      <w:r>
        <w:rPr>
          <w:rFonts w:hint="eastAsia" w:ascii="仿宋" w:hAnsi="仿宋" w:cs="仿宋"/>
          <w:b/>
          <w:bCs/>
          <w:color w:val="000000"/>
          <w:kern w:val="0"/>
          <w:szCs w:val="28"/>
          <w:lang w:bidi="ar"/>
        </w:rPr>
        <w:t>加强信息公开</w:t>
      </w:r>
      <w:r>
        <w:rPr>
          <w:rFonts w:hint="eastAsia" w:ascii="仿宋" w:hAnsi="仿宋" w:cs="仿宋"/>
          <w:color w:val="000000"/>
          <w:kern w:val="0"/>
          <w:szCs w:val="28"/>
          <w:lang w:bidi="ar"/>
        </w:rPr>
        <w:t>。</w:t>
      </w:r>
      <w:r>
        <w:rPr>
          <w:rFonts w:eastAsia="宋体"/>
          <w:color w:val="000000"/>
          <w:kern w:val="0"/>
          <w:szCs w:val="28"/>
          <w:lang w:bidi="ar"/>
        </w:rPr>
        <w:t>2021</w:t>
      </w:r>
      <w:r>
        <w:rPr>
          <w:rFonts w:hint="eastAsia" w:ascii="仿宋" w:hAnsi="仿宋" w:cs="仿宋"/>
          <w:color w:val="000000"/>
          <w:kern w:val="0"/>
          <w:szCs w:val="28"/>
          <w:lang w:bidi="ar"/>
        </w:rPr>
        <w:t xml:space="preserve">年起在土地出让、房地产出售等环节，土地使用权人应公开地块原土壤污染状况及污染治理和修复情况。自然资源、住房城乡建设等部门加强房地产出售环节污染土壤防治公示情况检查。强化土壤污染风险管控、修复项目施工过程信息公开。 </w:t>
      </w:r>
    </w:p>
    <w:p w14:paraId="03260D56">
      <w:pPr>
        <w:widowControl/>
        <w:spacing w:line="420" w:lineRule="auto"/>
        <w:ind w:firstLine="560"/>
        <w:jc w:val="left"/>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四、严格土壤污染治理、修复和管控制度</w:t>
      </w:r>
    </w:p>
    <w:p w14:paraId="1AD21E08">
      <w:pPr>
        <w:widowControl/>
        <w:spacing w:line="420" w:lineRule="auto"/>
        <w:ind w:firstLine="560"/>
        <w:jc w:val="left"/>
      </w:pPr>
      <w:r>
        <w:rPr>
          <w:rFonts w:hint="eastAsia" w:ascii="仿宋" w:hAnsi="仿宋" w:cs="仿宋"/>
          <w:b/>
          <w:bCs/>
          <w:color w:val="000000"/>
          <w:kern w:val="0"/>
          <w:szCs w:val="28"/>
          <w:lang w:bidi="ar"/>
        </w:rPr>
        <w:t>实施土壤污染治理与修复</w:t>
      </w:r>
      <w:r>
        <w:rPr>
          <w:rFonts w:hint="eastAsia" w:ascii="仿宋" w:hAnsi="仿宋" w:cs="仿宋"/>
          <w:color w:val="000000"/>
          <w:kern w:val="0"/>
          <w:szCs w:val="28"/>
          <w:lang w:bidi="ar"/>
        </w:rPr>
        <w:t xml:space="preserve">。制定土壤污染治理与修复规划，明确重点任务、责任单位、年度实施计划和修复要求，建立动态项目库。以用途变更为住宅、公共管理与公共服务用地的污染地块为重点，开展土壤污染治理与修复。根据土壤污染程度、环境风险及其影响范围和对农产品质量安全的影响，确定治理与修复的重点区域。积极开展农田土壤修复与综合治理试点示范，逐步建立不同地区、不同农产品产区优先控制污染物清单。 </w:t>
      </w:r>
    </w:p>
    <w:p w14:paraId="2F68B67C">
      <w:pPr>
        <w:widowControl/>
        <w:spacing w:line="420" w:lineRule="auto"/>
        <w:ind w:firstLine="560"/>
        <w:jc w:val="left"/>
      </w:pPr>
      <w:r>
        <w:rPr>
          <w:rFonts w:hint="eastAsia" w:ascii="仿宋" w:hAnsi="仿宋" w:cs="仿宋"/>
          <w:b/>
          <w:bCs/>
          <w:color w:val="000000"/>
          <w:kern w:val="0"/>
          <w:szCs w:val="28"/>
          <w:lang w:bidi="ar"/>
        </w:rPr>
        <w:t>强化土壤污染风险管控</w:t>
      </w:r>
      <w:r>
        <w:rPr>
          <w:rFonts w:hint="eastAsia" w:ascii="仿宋" w:hAnsi="仿宋" w:cs="仿宋"/>
          <w:color w:val="000000"/>
          <w:kern w:val="0"/>
          <w:szCs w:val="28"/>
          <w:lang w:bidi="ar"/>
        </w:rPr>
        <w:t xml:space="preserve">。对暂不开发的受污染建设地块，实施土壤污染风险管控，防止污染扩散。防止转运污染土壤非法处置，对于转运污染土壤，要建立台账制度，将运输时间、方式、线路和污染土壤数量、去向、最终处置措施等，提前向所在地和接收地生态环境部门报告，确保污染土壤得到有效处理处置。防范农药类等污染地块风险管控和修复过程中产生的异味等二次污染，确保实现风险管控和修复目标。土壤污染治理与修复工程施工期间，责任单位要设立公告牌，公开工程基本情况、环境影响及其防范措施；生态环境部门要对各项环境保护措施落实情况进行检查。工程完工后，责任单位要委托第三方机构对治理与修复效果进行评估，结果向社会公开。 </w:t>
      </w:r>
    </w:p>
    <w:p w14:paraId="3C163491">
      <w:pPr>
        <w:widowControl/>
        <w:spacing w:line="420" w:lineRule="auto"/>
        <w:ind w:firstLine="560"/>
        <w:jc w:val="left"/>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五、加强土壤污染防治系统监管</w:t>
      </w:r>
    </w:p>
    <w:p w14:paraId="21B372A1">
      <w:pPr>
        <w:widowControl/>
        <w:spacing w:line="420" w:lineRule="auto"/>
        <w:ind w:firstLine="560"/>
        <w:jc w:val="left"/>
        <w:rPr>
          <w:rFonts w:ascii="仿宋" w:hAnsi="仿宋" w:cs="仿宋"/>
          <w:color w:val="000000"/>
          <w:kern w:val="0"/>
          <w:szCs w:val="28"/>
          <w:lang w:bidi="ar"/>
        </w:rPr>
      </w:pPr>
      <w:r>
        <w:rPr>
          <w:rFonts w:ascii="仿宋" w:hAnsi="仿宋" w:cs="仿宋"/>
          <w:b/>
          <w:color w:val="000000"/>
          <w:kern w:val="0"/>
          <w:szCs w:val="28"/>
          <w:lang w:bidi="ar"/>
        </w:rPr>
        <w:t>完善土壤污染防治体系。</w:t>
      </w:r>
      <w:r>
        <w:rPr>
          <w:rFonts w:hint="eastAsia" w:ascii="仿宋" w:hAnsi="仿宋" w:cs="仿宋"/>
          <w:color w:val="000000"/>
          <w:kern w:val="0"/>
          <w:szCs w:val="28"/>
          <w:lang w:bidi="ar"/>
        </w:rPr>
        <w:t>持续推进土壤污染防治攻坚行动，充分发挥我县土壤污染防治领导小组作用，加强政府主导地位，明确和落实各部门责任。加强空间布局管控，将土壤及地下水环境要求纳入本县国土空间规划，充分考虑土壤污染状况和环境风险，合理规划土地用途。加强贯彻国家、省有关法律法规、政策精神，制定和落实本县土壤污染防治相关政策文件，组织签订乡镇（园区）、重点监管企业各级土壤污染目标责任书，加强对目标达成情况的考核评估。</w:t>
      </w:r>
    </w:p>
    <w:p w14:paraId="5E962545">
      <w:pPr>
        <w:widowControl/>
        <w:spacing w:line="420" w:lineRule="auto"/>
        <w:ind w:firstLine="560"/>
        <w:jc w:val="left"/>
        <w:rPr>
          <w:rFonts w:ascii="仿宋" w:hAnsi="仿宋" w:cs="仿宋"/>
          <w:color w:val="000000"/>
          <w:kern w:val="0"/>
          <w:szCs w:val="28"/>
          <w:lang w:bidi="ar"/>
        </w:rPr>
      </w:pPr>
      <w:r>
        <w:rPr>
          <w:rFonts w:ascii="仿宋" w:hAnsi="仿宋" w:cs="仿宋"/>
          <w:b/>
          <w:color w:val="000000"/>
          <w:kern w:val="0"/>
          <w:szCs w:val="28"/>
          <w:lang w:bidi="ar"/>
        </w:rPr>
        <w:t>强化信息共享和联动监管机制。</w:t>
      </w:r>
      <w:r>
        <w:rPr>
          <w:rFonts w:hint="eastAsia" w:ascii="仿宋" w:hAnsi="仿宋" w:cs="仿宋"/>
          <w:color w:val="000000"/>
          <w:kern w:val="0"/>
          <w:szCs w:val="28"/>
          <w:lang w:bidi="ar"/>
        </w:rPr>
        <w:t>充分发挥环境大数据辅助监管的作用，利用污染地块数据库及信息平台，多部门共享疑似污染地块及污染地块的空间信息，实现疑似污染地块、污染地块信息与国土空间规划“一张图</w:t>
      </w:r>
      <w:r>
        <w:rPr>
          <w:rFonts w:ascii="仿宋" w:hAnsi="仿宋" w:cs="仿宋"/>
          <w:color w:val="000000"/>
          <w:kern w:val="0"/>
          <w:szCs w:val="28"/>
          <w:lang w:bidi="ar"/>
        </w:rPr>
        <w:t>”</w:t>
      </w:r>
      <w:r>
        <w:rPr>
          <w:rFonts w:hint="eastAsia" w:ascii="仿宋" w:hAnsi="仿宋" w:cs="仿宋"/>
          <w:color w:val="000000"/>
          <w:kern w:val="0"/>
          <w:szCs w:val="28"/>
          <w:lang w:bidi="ar"/>
        </w:rPr>
        <w:t>。持续强化污染地块在开发利用联动监管机制，加强在用地收储出让、土地用途变更、污染地块再开发利用建设项目施工审批、疑似污染地块和污染地块清单建立等环节的联动监管。</w:t>
      </w:r>
    </w:p>
    <w:p w14:paraId="06DA5691">
      <w:pPr>
        <w:widowControl/>
        <w:spacing w:line="420" w:lineRule="auto"/>
        <w:ind w:firstLine="560"/>
        <w:jc w:val="left"/>
        <w:rPr>
          <w:rFonts w:ascii="仿宋" w:hAnsi="仿宋" w:cs="仿宋"/>
          <w:color w:val="000000"/>
          <w:kern w:val="0"/>
          <w:szCs w:val="28"/>
          <w:lang w:bidi="ar"/>
        </w:rPr>
      </w:pPr>
      <w:r>
        <w:rPr>
          <w:rFonts w:hint="eastAsia" w:ascii="仿宋" w:hAnsi="仿宋" w:cs="仿宋"/>
          <w:b/>
          <w:color w:val="000000"/>
          <w:kern w:val="0"/>
          <w:szCs w:val="28"/>
          <w:lang w:bidi="ar"/>
        </w:rPr>
        <w:t>加强土壤污染重点监管单位管理。</w:t>
      </w:r>
      <w:r>
        <w:rPr>
          <w:rFonts w:hint="eastAsia" w:ascii="仿宋" w:hAnsi="仿宋" w:cs="仿宋"/>
          <w:color w:val="000000"/>
          <w:kern w:val="0"/>
          <w:szCs w:val="28"/>
          <w:lang w:bidi="ar"/>
        </w:rPr>
        <w:t>保持每年更新及发布本县土壤污染重点监管单位名单，监督重点监管单位全面落实土壤污染防治义务，加强落实法定责任。将土壤环境污染防治纳入排污许可管理，包括有毒有害物质排放报告、土壤污染隐患排查、土壤和地下水环境自行监测制度等。到</w:t>
      </w:r>
      <w:r>
        <w:rPr>
          <w:rFonts w:ascii="TimesNewRomanPSMT" w:hAnsi="TimesNewRomanPSMT" w:eastAsia="TimesNewRomanPSMT" w:cs="TimesNewRomanPSMT"/>
          <w:color w:val="000000"/>
          <w:kern w:val="0"/>
          <w:szCs w:val="28"/>
          <w:lang w:bidi="ar"/>
        </w:rPr>
        <w:t>2025</w:t>
      </w:r>
      <w:r>
        <w:rPr>
          <w:rFonts w:hint="eastAsia" w:ascii="仿宋" w:hAnsi="仿宋" w:cs="仿宋"/>
          <w:color w:val="000000"/>
          <w:kern w:val="0"/>
          <w:szCs w:val="28"/>
          <w:lang w:bidi="ar"/>
        </w:rPr>
        <w:t>年底，全县土壤污染重点监管单位排污许可证应当全部载明土壤污染防治义务。定期开展重点监管企业、工业园区及污水处理厂周边土壤环境监督性监测工作，强化监管和执法检查，鼓励利用卫星遥感、无人机、视频监控等手段开展非现场检查。</w:t>
      </w:r>
    </w:p>
    <w:p w14:paraId="26A0EE82">
      <w:pPr>
        <w:widowControl/>
        <w:spacing w:line="420" w:lineRule="auto"/>
        <w:ind w:firstLine="560"/>
        <w:jc w:val="left"/>
      </w:pPr>
      <w:r>
        <w:rPr>
          <w:rFonts w:hint="eastAsia" w:ascii="仿宋" w:hAnsi="仿宋" w:cs="仿宋"/>
          <w:b/>
          <w:color w:val="000000"/>
          <w:kern w:val="0"/>
          <w:szCs w:val="28"/>
          <w:lang w:bidi="ar"/>
        </w:rPr>
        <w:t>健全土壤环境监测体系。</w:t>
      </w:r>
      <w:r>
        <w:rPr>
          <w:rFonts w:hint="eastAsia" w:ascii="仿宋" w:hAnsi="仿宋" w:cs="仿宋"/>
          <w:color w:val="000000"/>
          <w:kern w:val="0"/>
          <w:szCs w:val="28"/>
          <w:lang w:bidi="ar"/>
        </w:rPr>
        <w:t>以土壤重点监管单位、工业园区（工业集中区）及污水处理厂周围地块、周围存在污染源的农用地、用途变更为住宅地等地块为重点，优化全县土壤环境质量监测网络，实现土壤环境质量监测点位全覆盖。探索运用物联网、大数据、云计算、互联网</w:t>
      </w:r>
      <w:r>
        <w:rPr>
          <w:rFonts w:ascii="TimesNewRomanPSMT" w:hAnsi="TimesNewRomanPSMT" w:eastAsia="TimesNewRomanPSMT" w:cs="TimesNewRomanPSMT"/>
          <w:color w:val="000000"/>
          <w:kern w:val="0"/>
          <w:szCs w:val="28"/>
          <w:lang w:bidi="ar"/>
        </w:rPr>
        <w:t>+</w:t>
      </w:r>
      <w:r>
        <w:rPr>
          <w:rFonts w:hint="eastAsia" w:ascii="仿宋" w:hAnsi="仿宋" w:cs="仿宋"/>
          <w:color w:val="000000"/>
          <w:kern w:val="0"/>
          <w:szCs w:val="28"/>
          <w:lang w:bidi="ar"/>
        </w:rPr>
        <w:t>等先进技术手段，建立土壤环境质量常态化监测体系。</w:t>
      </w:r>
      <w:r>
        <w:t>强化建设用地风险管控和治理修复</w:t>
      </w:r>
    </w:p>
    <w:p w14:paraId="178870B4">
      <w:pPr>
        <w:pStyle w:val="3"/>
      </w:pPr>
      <w:bookmarkStart w:id="33" w:name="_Toc394"/>
      <w:r>
        <w:rPr>
          <w:rFonts w:hint="eastAsia"/>
        </w:rPr>
        <w:t>第四节 强化噪声污染防治，逐步提高声环境质量</w:t>
      </w:r>
      <w:bookmarkEnd w:id="33"/>
    </w:p>
    <w:p w14:paraId="3B01E2EF">
      <w:pPr>
        <w:widowControl/>
        <w:spacing w:line="420" w:lineRule="auto"/>
        <w:ind w:firstLine="560"/>
        <w:outlineLvl w:val="2"/>
        <w:rPr>
          <w:szCs w:val="28"/>
        </w:rPr>
      </w:pPr>
      <w:r>
        <w:rPr>
          <w:rFonts w:hint="eastAsia" w:ascii="仿宋" w:hAnsi="仿宋" w:cs="仿宋"/>
          <w:b/>
          <w:bCs/>
          <w:color w:val="0C0C0C"/>
          <w:kern w:val="0"/>
          <w:szCs w:val="28"/>
          <w:lang w:bidi="ar"/>
        </w:rPr>
        <w:t>一、</w:t>
      </w:r>
      <w:r>
        <w:rPr>
          <w:rFonts w:ascii="仿宋" w:hAnsi="仿宋" w:cs="仿宋"/>
          <w:b/>
          <w:bCs/>
          <w:color w:val="0C0C0C"/>
          <w:kern w:val="0"/>
          <w:szCs w:val="28"/>
          <w:lang w:bidi="ar"/>
        </w:rPr>
        <w:t xml:space="preserve">控制工业企业噪声 </w:t>
      </w:r>
    </w:p>
    <w:p w14:paraId="36F02EF8">
      <w:pPr>
        <w:widowControl/>
        <w:spacing w:line="420" w:lineRule="auto"/>
        <w:ind w:firstLine="560"/>
      </w:pPr>
      <w:r>
        <w:rPr>
          <w:rFonts w:hint="eastAsia" w:ascii="仿宋" w:hAnsi="仿宋" w:cs="仿宋"/>
          <w:color w:val="0C0C0C"/>
          <w:kern w:val="0"/>
          <w:szCs w:val="28"/>
          <w:lang w:bidi="ar"/>
        </w:rPr>
        <w:t xml:space="preserve">推行使用低噪声设备，大力推广使用低噪声风机、低噪声空压机、低噪声冷却塔、低噪声机械加工设备等，工业噪声源应采用隔声、吸声和消声等措施，必要时应设置隔声罩，确保厂界达标，从噪声源头和传播途径上有效减少对周围环境的影响。加强厂区绿化，在高噪声设备处和厂界之间设置绿化带。控制在居民住宅区附近新建工业项目，杜绝产生新的噪声污染源。 </w:t>
      </w:r>
    </w:p>
    <w:p w14:paraId="54326E78">
      <w:pPr>
        <w:widowControl/>
        <w:spacing w:line="420" w:lineRule="auto"/>
        <w:ind w:firstLine="560"/>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 xml:space="preserve">二、控制施工噪声 </w:t>
      </w:r>
    </w:p>
    <w:p w14:paraId="044EC9A9">
      <w:pPr>
        <w:widowControl/>
        <w:spacing w:line="420" w:lineRule="auto"/>
        <w:ind w:firstLine="560"/>
      </w:pPr>
      <w:r>
        <w:rPr>
          <w:rFonts w:hint="eastAsia" w:ascii="仿宋" w:hAnsi="仿宋" w:cs="仿宋"/>
          <w:color w:val="0C0C0C"/>
          <w:kern w:val="0"/>
          <w:szCs w:val="28"/>
          <w:lang w:bidi="ar"/>
        </w:rPr>
        <w:t xml:space="preserve">合理选择建筑施工机械设备和施工工艺，降低施工噪声，以液压打桩代替冲击打桩，以挤压式破碎机替代撞击式石料破碎机，淘汰现行裸露的圆盘电锯，采用低噪声木锯刨机床，以低噪声的螺杆式空气压缩机替代活塞式空压机等。改进建筑施工作业方式，推广商品混凝土，在建成区内禁止施工工地现场搅拌作业，彻底消除混凝土搅拌机的噪声污染。严格控制建筑施工作业时间，减轻建筑噪声对居民休息、睡眠的影响。加强对施工工地的管理和施工人员的环境意识教育。建设建筑施工的噪声实时监控系统，规范文明施工，避免社会噪声扰民。 </w:t>
      </w:r>
    </w:p>
    <w:p w14:paraId="784276F6">
      <w:pPr>
        <w:widowControl/>
        <w:spacing w:line="420" w:lineRule="auto"/>
        <w:ind w:firstLine="560"/>
        <w:outlineLvl w:val="2"/>
        <w:rPr>
          <w:szCs w:val="28"/>
        </w:rPr>
      </w:pPr>
      <w:r>
        <w:rPr>
          <w:rFonts w:hint="eastAsia" w:ascii="仿宋" w:hAnsi="仿宋" w:cs="仿宋"/>
          <w:b/>
          <w:bCs/>
          <w:color w:val="0C0C0C"/>
          <w:kern w:val="0"/>
          <w:szCs w:val="28"/>
          <w:lang w:bidi="ar"/>
        </w:rPr>
        <w:t xml:space="preserve">三、控制交通噪声 </w:t>
      </w:r>
    </w:p>
    <w:p w14:paraId="706D4748">
      <w:pPr>
        <w:widowControl/>
        <w:spacing w:line="420" w:lineRule="auto"/>
        <w:ind w:firstLine="560"/>
      </w:pPr>
      <w:r>
        <w:rPr>
          <w:rFonts w:hint="eastAsia" w:ascii="仿宋" w:hAnsi="仿宋" w:cs="仿宋"/>
          <w:color w:val="0C0C0C"/>
          <w:kern w:val="0"/>
          <w:szCs w:val="28"/>
          <w:lang w:bidi="ar"/>
        </w:rPr>
        <w:t xml:space="preserve">在人口密集区及临近医院、学校等敏感对象地点的路段设置隔声屏障、防护林带，禁止喇叭鸣笛，完善噪声自动监测站建设，在噪声扰民严重的区域新增自动监测显示屏，并加强污染源治理。加大交通线路运行管理力度，限制城镇化地区大型机动车辆运行的时段、范围和线路，加强机动车禁鸣执法与宣传，减少交通噪声扰民现象。加强交通道路管理，保持道路畅通、交通秩序良好，加强路面维护保养，采用环保低噪声路面材料，降低车辆行驶噪声。扩大城镇机动车禁区和禁鸣范围，加强交通法规宣传教育和严格执法。 </w:t>
      </w:r>
    </w:p>
    <w:p w14:paraId="1AD3B4A1">
      <w:pPr>
        <w:widowControl/>
        <w:spacing w:line="420" w:lineRule="auto"/>
        <w:ind w:firstLine="560"/>
        <w:outlineLvl w:val="2"/>
      </w:pPr>
      <w:r>
        <w:rPr>
          <w:rFonts w:hint="eastAsia" w:ascii="仿宋" w:hAnsi="仿宋" w:cs="仿宋"/>
          <w:b/>
          <w:bCs/>
          <w:color w:val="0C0C0C"/>
          <w:kern w:val="0"/>
          <w:szCs w:val="28"/>
          <w:lang w:bidi="ar"/>
        </w:rPr>
        <w:t>四、控制社会噪声</w:t>
      </w:r>
      <w:r>
        <w:rPr>
          <w:rFonts w:hint="eastAsia" w:ascii="仿宋" w:hAnsi="仿宋" w:cs="仿宋"/>
          <w:b/>
          <w:bCs/>
          <w:color w:val="0C0C0C"/>
          <w:kern w:val="0"/>
          <w:sz w:val="30"/>
          <w:szCs w:val="30"/>
          <w:lang w:bidi="ar"/>
        </w:rPr>
        <w:t xml:space="preserve"> </w:t>
      </w:r>
    </w:p>
    <w:p w14:paraId="623D3329">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加强餐饮、商业、文化娱乐业等社会生活噪声的监管力度，提高社会居民整体控制噪声意识。针对投诉件中涉及噪声未达到相应功能区标准的娱乐场所进行限期整改，仍不达标者予以关停。</w:t>
      </w:r>
    </w:p>
    <w:p w14:paraId="0FEE8E7C">
      <w:pPr>
        <w:widowControl/>
        <w:spacing w:before="210" w:after="210" w:line="420" w:lineRule="auto"/>
        <w:ind w:firstLine="640"/>
        <w:outlineLvl w:val="1"/>
        <w:rPr>
          <w:b/>
          <w:sz w:val="32"/>
        </w:rPr>
      </w:pPr>
      <w:bookmarkStart w:id="34" w:name="_Toc23548"/>
      <w:r>
        <w:rPr>
          <w:rStyle w:val="20"/>
          <w:rFonts w:hint="eastAsia"/>
        </w:rPr>
        <w:t>第五节 推进农业农村污染治理，全力打造美丽乡村</w:t>
      </w:r>
      <w:bookmarkEnd w:id="34"/>
    </w:p>
    <w:p w14:paraId="6E72A008">
      <w:pPr>
        <w:widowControl/>
        <w:spacing w:line="420" w:lineRule="auto"/>
        <w:ind w:firstLine="560"/>
        <w:jc w:val="left"/>
        <w:outlineLvl w:val="2"/>
        <w:rPr>
          <w:rFonts w:ascii="仿宋" w:hAnsi="仿宋" w:cs="仿宋"/>
          <w:szCs w:val="28"/>
        </w:rPr>
      </w:pPr>
      <w:r>
        <w:rPr>
          <w:rFonts w:hint="eastAsia" w:ascii="仿宋" w:hAnsi="仿宋" w:cs="仿宋"/>
          <w:b/>
          <w:bCs/>
          <w:color w:val="0C0C0C"/>
          <w:kern w:val="0"/>
          <w:szCs w:val="28"/>
          <w:lang w:bidi="ar"/>
        </w:rPr>
        <w:t xml:space="preserve">一、加强种植业面源污染防治 </w:t>
      </w:r>
    </w:p>
    <w:p w14:paraId="2D047CA9">
      <w:pPr>
        <w:widowControl/>
        <w:spacing w:line="420" w:lineRule="auto"/>
        <w:ind w:firstLine="560"/>
        <w:jc w:val="left"/>
      </w:pPr>
      <w:r>
        <w:rPr>
          <w:rFonts w:hint="eastAsia" w:ascii="仿宋" w:hAnsi="仿宋" w:cs="仿宋"/>
          <w:b/>
          <w:bCs/>
          <w:color w:val="0C0C0C"/>
          <w:kern w:val="0"/>
          <w:szCs w:val="28"/>
          <w:lang w:bidi="ar"/>
        </w:rPr>
        <w:t>实施化肥农药减量行动。</w:t>
      </w:r>
      <w:r>
        <w:rPr>
          <w:rFonts w:hint="eastAsia" w:ascii="仿宋" w:hAnsi="仿宋" w:cs="仿宋"/>
          <w:color w:val="0C0C0C"/>
          <w:kern w:val="0"/>
          <w:szCs w:val="28"/>
          <w:lang w:bidi="ar"/>
        </w:rPr>
        <w:t>完善化肥农药使用量调查统计制度，加强农业投入品规范化管理，健全投入品追溯系统。加快发展循环农业，加大测土配方施肥推广力度，引导科学施肥，提高化肥利用效率。推进砀山县水果加工行业果皮果渣加工再利用，加工有机肥料。河道河坡、堤坡、干涸河床禁止耕种。建设生态沟渠、净化塘、地表径流集蓄池等设施，配置水生植物群落、格栅和透水坝，进一步净化农田排水及地表径流，强化灌溉水回用。加快推进秸秆离田和综合利用，防范泡田退水污染及外排。强化病虫害统防统治，推广绿色防控技术，广泛使用高效低毒低残留农药。全县农药利用率、化肥利用率、农作物病虫害绿色防控覆盖率分别达到</w:t>
      </w:r>
      <w:r>
        <w:rPr>
          <w:rFonts w:eastAsia="宋体"/>
          <w:kern w:val="0"/>
          <w:szCs w:val="28"/>
          <w:lang w:bidi="ar"/>
        </w:rPr>
        <w:t>40%</w:t>
      </w:r>
      <w:r>
        <w:rPr>
          <w:rFonts w:hint="eastAsia" w:ascii="仿宋" w:hAnsi="仿宋" w:cs="仿宋"/>
          <w:kern w:val="0"/>
          <w:szCs w:val="28"/>
          <w:lang w:bidi="ar"/>
        </w:rPr>
        <w:t>、</w:t>
      </w:r>
      <w:r>
        <w:rPr>
          <w:rFonts w:eastAsia="宋体"/>
          <w:kern w:val="0"/>
          <w:szCs w:val="28"/>
          <w:lang w:bidi="ar"/>
        </w:rPr>
        <w:t>45%</w:t>
      </w:r>
      <w:r>
        <w:rPr>
          <w:rFonts w:hint="eastAsia" w:ascii="仿宋" w:hAnsi="仿宋" w:cs="仿宋"/>
          <w:kern w:val="0"/>
          <w:szCs w:val="28"/>
          <w:lang w:bidi="ar"/>
        </w:rPr>
        <w:t>、</w:t>
      </w:r>
      <w:r>
        <w:rPr>
          <w:rFonts w:eastAsia="宋体"/>
          <w:kern w:val="0"/>
          <w:szCs w:val="28"/>
          <w:lang w:bidi="ar"/>
        </w:rPr>
        <w:t>30%</w:t>
      </w:r>
      <w:r>
        <w:rPr>
          <w:rFonts w:hint="eastAsia" w:ascii="仿宋" w:hAnsi="仿宋" w:cs="仿宋"/>
          <w:color w:val="0C0C0C"/>
          <w:kern w:val="0"/>
          <w:szCs w:val="28"/>
          <w:lang w:bidi="ar"/>
        </w:rPr>
        <w:t xml:space="preserve">以上。 </w:t>
      </w:r>
    </w:p>
    <w:p w14:paraId="04FFAAE8">
      <w:pPr>
        <w:widowControl/>
        <w:spacing w:line="420" w:lineRule="auto"/>
        <w:ind w:firstLine="560"/>
        <w:jc w:val="left"/>
      </w:pPr>
      <w:r>
        <w:rPr>
          <w:rFonts w:hint="eastAsia" w:ascii="仿宋" w:hAnsi="仿宋" w:cs="仿宋"/>
          <w:b/>
          <w:bCs/>
          <w:color w:val="0C0C0C"/>
          <w:kern w:val="0"/>
          <w:szCs w:val="28"/>
          <w:lang w:bidi="ar"/>
        </w:rPr>
        <w:t>加强农业废弃物回收利用。</w:t>
      </w:r>
      <w:r>
        <w:rPr>
          <w:rFonts w:hint="eastAsia" w:ascii="仿宋" w:hAnsi="仿宋" w:cs="仿宋"/>
          <w:color w:val="0C0C0C"/>
          <w:kern w:val="0"/>
          <w:szCs w:val="28"/>
          <w:lang w:bidi="ar"/>
        </w:rPr>
        <w:t>实施秸秆综合利用和农膜、农药包装物回收利用行动。</w:t>
      </w:r>
      <w:r>
        <w:rPr>
          <w:rFonts w:hint="eastAsia" w:ascii="仿宋" w:hAnsi="仿宋" w:cs="仿宋"/>
          <w:color w:val="000000"/>
          <w:kern w:val="0"/>
          <w:szCs w:val="28"/>
          <w:lang w:bidi="ar"/>
        </w:rPr>
        <w:t>持续推进农作物秸秆综合利用，建立健全秸秆收储运体系，</w:t>
      </w:r>
      <w:r>
        <w:rPr>
          <w:rFonts w:hint="eastAsia" w:ascii="仿宋" w:hAnsi="仿宋" w:cs="仿宋"/>
          <w:color w:val="0C0C0C"/>
          <w:kern w:val="0"/>
          <w:szCs w:val="28"/>
          <w:lang w:bidi="ar"/>
        </w:rPr>
        <w:t>加快农作物秸秆饲料化、能源化、原料化、基料化利用。</w:t>
      </w:r>
      <w:r>
        <w:rPr>
          <w:rFonts w:hint="eastAsia" w:ascii="仿宋" w:hAnsi="仿宋" w:cs="仿宋"/>
          <w:color w:val="000000"/>
          <w:kern w:val="0"/>
          <w:szCs w:val="28"/>
          <w:lang w:bidi="ar"/>
        </w:rPr>
        <w:t>完善农膜产品标准，提高标准准入，</w:t>
      </w:r>
      <w:r>
        <w:rPr>
          <w:rFonts w:hint="eastAsia" w:ascii="仿宋" w:hAnsi="仿宋" w:cs="仿宋"/>
          <w:color w:val="0C0C0C"/>
          <w:kern w:val="0"/>
          <w:szCs w:val="28"/>
          <w:lang w:bidi="ar"/>
        </w:rPr>
        <w:t>加强可降解农膜推广。全县秸秆综合利用率达到</w:t>
      </w:r>
      <w:r>
        <w:rPr>
          <w:rFonts w:eastAsia="宋体"/>
          <w:color w:val="0C0C0C"/>
          <w:kern w:val="0"/>
          <w:szCs w:val="28"/>
          <w:lang w:bidi="ar"/>
        </w:rPr>
        <w:t>92%</w:t>
      </w:r>
      <w:r>
        <w:rPr>
          <w:rFonts w:hint="eastAsia" w:ascii="仿宋" w:hAnsi="仿宋" w:cs="仿宋"/>
          <w:color w:val="0C0C0C"/>
          <w:kern w:val="0"/>
          <w:szCs w:val="28"/>
          <w:lang w:bidi="ar"/>
        </w:rPr>
        <w:t>以上。</w:t>
      </w:r>
    </w:p>
    <w:p w14:paraId="56180320">
      <w:pPr>
        <w:widowControl/>
        <w:spacing w:line="420" w:lineRule="auto"/>
        <w:ind w:firstLine="560"/>
        <w:jc w:val="left"/>
        <w:outlineLvl w:val="2"/>
        <w:rPr>
          <w:rFonts w:ascii="仿宋" w:hAnsi="仿宋" w:cs="仿宋"/>
          <w:szCs w:val="28"/>
        </w:rPr>
      </w:pPr>
      <w:r>
        <w:rPr>
          <w:rFonts w:hint="eastAsia" w:ascii="仿宋" w:hAnsi="仿宋" w:cs="仿宋"/>
          <w:b/>
          <w:bCs/>
          <w:color w:val="0C0C0C"/>
          <w:kern w:val="0"/>
          <w:szCs w:val="28"/>
          <w:lang w:bidi="ar"/>
        </w:rPr>
        <w:t xml:space="preserve">二、强化养殖业污染治理 </w:t>
      </w:r>
    </w:p>
    <w:p w14:paraId="74943874">
      <w:pPr>
        <w:widowControl/>
        <w:spacing w:line="420" w:lineRule="auto"/>
        <w:ind w:firstLine="560"/>
      </w:pPr>
      <w:r>
        <w:rPr>
          <w:rFonts w:hint="eastAsia" w:ascii="仿宋" w:hAnsi="仿宋" w:cs="仿宋"/>
          <w:b/>
          <w:bCs/>
          <w:color w:val="0C0C0C"/>
          <w:kern w:val="0"/>
          <w:szCs w:val="28"/>
          <w:lang w:bidi="ar"/>
        </w:rPr>
        <w:t>推进畜禽养殖污染综合治理。</w:t>
      </w:r>
      <w:r>
        <w:rPr>
          <w:rFonts w:hint="eastAsia" w:ascii="仿宋" w:hAnsi="仿宋" w:cs="仿宋"/>
          <w:color w:val="0C0C0C"/>
          <w:kern w:val="0"/>
          <w:szCs w:val="28"/>
          <w:lang w:bidi="ar"/>
        </w:rPr>
        <w:t>以规模化养殖场为重点，开展规模化生物天然气工程和沼气工程建设，推进畜禽养殖废弃物资源化利用。完善规模畜禽养殖场污染治理设施，持续完善畜禽养殖禁养区、限养区的科学划定，实行适度规模养殖。鼓励规模以下畜禽养殖户采用“种养结合”、“截污建池、收运还田”、“畜</w:t>
      </w:r>
      <w:r>
        <w:rPr>
          <w:rFonts w:eastAsia="宋体"/>
          <w:color w:val="0C0C0C"/>
          <w:kern w:val="0"/>
          <w:szCs w:val="28"/>
          <w:lang w:bidi="ar"/>
        </w:rPr>
        <w:t>-</w:t>
      </w:r>
      <w:r>
        <w:rPr>
          <w:rFonts w:hint="eastAsia" w:ascii="仿宋" w:hAnsi="仿宋" w:cs="仿宋"/>
          <w:color w:val="0C0C0C"/>
          <w:kern w:val="0"/>
          <w:szCs w:val="28"/>
          <w:lang w:bidi="ar"/>
        </w:rPr>
        <w:t>沼</w:t>
      </w:r>
      <w:r>
        <w:rPr>
          <w:rFonts w:eastAsia="宋体"/>
          <w:color w:val="0C0C0C"/>
          <w:kern w:val="0"/>
          <w:szCs w:val="28"/>
          <w:lang w:bidi="ar"/>
        </w:rPr>
        <w:t>-</w:t>
      </w:r>
      <w:r>
        <w:rPr>
          <w:rFonts w:hint="eastAsia" w:ascii="仿宋" w:hAnsi="仿宋" w:cs="仿宋"/>
          <w:color w:val="0C0C0C"/>
          <w:kern w:val="0"/>
          <w:szCs w:val="28"/>
          <w:lang w:bidi="ar"/>
        </w:rPr>
        <w:t>种”等模式，建立密闭式化粪池贮存池或沼气池等粪污发酵设施，打造经济高效、循环利用的绿色养殖基地。</w:t>
      </w:r>
      <w:r>
        <w:t>到</w:t>
      </w:r>
      <w:r>
        <w:rPr>
          <w:rFonts w:hint="eastAsia"/>
        </w:rPr>
        <w:t>2025</w:t>
      </w:r>
      <w:r>
        <w:t>年，全</w:t>
      </w:r>
      <w:r>
        <w:rPr>
          <w:rFonts w:hint="eastAsia"/>
        </w:rPr>
        <w:t>县</w:t>
      </w:r>
      <w:r>
        <w:t>规模养殖场粪污处理设施装备配套率</w:t>
      </w:r>
      <w:r>
        <w:rPr>
          <w:rFonts w:eastAsia="微软雅黑"/>
        </w:rPr>
        <w:t>100</w:t>
      </w:r>
      <w:r>
        <w:rPr>
          <w:rFonts w:hint="eastAsia"/>
        </w:rPr>
        <w:t>%</w:t>
      </w:r>
      <w:r>
        <w:t>，畜禽粪污资源化利用率达</w:t>
      </w:r>
      <w:r>
        <w:rPr>
          <w:rFonts w:hint="eastAsia"/>
        </w:rPr>
        <w:t>85%</w:t>
      </w:r>
      <w:r>
        <w:t>以上</w:t>
      </w:r>
      <w:r>
        <w:rPr>
          <w:rFonts w:hint="eastAsia"/>
        </w:rPr>
        <w:t>。</w:t>
      </w:r>
    </w:p>
    <w:p w14:paraId="08FC71F1">
      <w:pPr>
        <w:widowControl/>
        <w:spacing w:line="420" w:lineRule="auto"/>
        <w:ind w:firstLine="560"/>
      </w:pPr>
      <w:r>
        <w:rPr>
          <w:rFonts w:hint="eastAsia" w:ascii="仿宋" w:hAnsi="仿宋" w:cs="仿宋"/>
          <w:b/>
          <w:bCs/>
          <w:color w:val="0C0C0C"/>
          <w:kern w:val="0"/>
          <w:szCs w:val="28"/>
          <w:lang w:bidi="ar"/>
        </w:rPr>
        <w:t>合理布局水产养殖生产。</w:t>
      </w:r>
      <w:r>
        <w:rPr>
          <w:rFonts w:hint="eastAsia" w:ascii="仿宋" w:hAnsi="仿宋" w:cs="仿宋"/>
          <w:color w:val="0C0C0C"/>
          <w:kern w:val="0"/>
          <w:szCs w:val="28"/>
          <w:lang w:bidi="ar"/>
        </w:rPr>
        <w:t>依法有序按计划推进禁养区水产养殖转移和退出，调整养殖品种结构，严格水产养殖投入品管理，扩大健康养殖规模。推进生态健康养殖，优化养殖模式，严格控制河流湖库投饵网箱养殖，加强围网养殖清理整治。加大养殖污染治理力度，开展水产养殖尾水整治专项行动。到</w:t>
      </w:r>
      <w:r>
        <w:rPr>
          <w:color w:val="0C0C0C"/>
          <w:kern w:val="0"/>
          <w:szCs w:val="28"/>
          <w:lang w:bidi="ar"/>
        </w:rPr>
        <w:t>2025</w:t>
      </w:r>
      <w:r>
        <w:rPr>
          <w:rFonts w:hint="eastAsia" w:ascii="仿宋" w:hAnsi="仿宋" w:cs="仿宋"/>
          <w:color w:val="0C0C0C"/>
          <w:kern w:val="0"/>
          <w:szCs w:val="28"/>
          <w:lang w:bidi="ar"/>
        </w:rPr>
        <w:t>年，</w:t>
      </w:r>
      <w:r>
        <w:t>规模以上水产养殖尾水实现达标排放</w:t>
      </w:r>
      <w:r>
        <w:rPr>
          <w:rFonts w:hint="eastAsia"/>
        </w:rPr>
        <w:t>或循环利用。</w:t>
      </w:r>
    </w:p>
    <w:p w14:paraId="640A2579">
      <w:pPr>
        <w:widowControl/>
        <w:spacing w:line="420" w:lineRule="auto"/>
        <w:ind w:firstLine="560"/>
        <w:jc w:val="left"/>
        <w:outlineLvl w:val="2"/>
        <w:rPr>
          <w:rFonts w:ascii="仿宋" w:hAnsi="仿宋" w:cs="仿宋"/>
          <w:color w:val="0C0C0C"/>
          <w:kern w:val="0"/>
          <w:szCs w:val="28"/>
          <w:lang w:bidi="ar"/>
        </w:rPr>
      </w:pPr>
      <w:r>
        <w:rPr>
          <w:rFonts w:hint="eastAsia" w:ascii="仿宋" w:hAnsi="仿宋" w:cs="仿宋"/>
          <w:b/>
          <w:bCs/>
          <w:color w:val="0C0C0C"/>
          <w:kern w:val="0"/>
          <w:szCs w:val="28"/>
          <w:lang w:bidi="ar"/>
        </w:rPr>
        <w:t>三、持续改善农村人居环境</w:t>
      </w:r>
      <w:r>
        <w:rPr>
          <w:rFonts w:hint="eastAsia" w:ascii="仿宋" w:hAnsi="仿宋" w:cs="仿宋"/>
          <w:b/>
          <w:bCs/>
          <w:color w:val="0C0C0C"/>
          <w:kern w:val="0"/>
          <w:sz w:val="30"/>
          <w:szCs w:val="30"/>
          <w:lang w:bidi="ar"/>
        </w:rPr>
        <w:t xml:space="preserve"> </w:t>
      </w:r>
    </w:p>
    <w:p w14:paraId="0011B7F0">
      <w:pPr>
        <w:keepNext/>
        <w:keepLines/>
        <w:tabs>
          <w:tab w:val="left" w:pos="730"/>
        </w:tabs>
        <w:ind w:firstLine="560"/>
        <w:jc w:val="left"/>
        <w:rPr>
          <w:rFonts w:ascii="仿宋" w:hAnsi="仿宋" w:cs="仿宋"/>
          <w:color w:val="0C0C0C"/>
          <w:kern w:val="0"/>
          <w:szCs w:val="28"/>
          <w:lang w:bidi="ar"/>
        </w:rPr>
      </w:pPr>
      <w:r>
        <w:rPr>
          <w:rFonts w:hint="eastAsia" w:ascii="仿宋" w:hAnsi="仿宋" w:cs="仿宋"/>
          <w:b/>
          <w:bCs/>
          <w:color w:val="0C0C0C"/>
          <w:kern w:val="0"/>
          <w:szCs w:val="28"/>
          <w:lang w:bidi="ar"/>
        </w:rPr>
        <w:t>全面深入推进以农村厕所、垃圾、污水“三大革命”为重点的农村人居环境整治。</w:t>
      </w:r>
      <w:r>
        <w:rPr>
          <w:rFonts w:hint="eastAsia" w:ascii="仿宋" w:hAnsi="仿宋" w:cs="仿宋"/>
          <w:color w:val="0C0C0C"/>
          <w:kern w:val="0"/>
          <w:szCs w:val="28"/>
          <w:lang w:bidi="ar"/>
        </w:rPr>
        <w:t>加快农村厕所改造升级，统筹农户和公共卫生厕所建设，到</w:t>
      </w:r>
      <w:r>
        <w:rPr>
          <w:rFonts w:eastAsia="宋体"/>
          <w:color w:val="0C0C0C"/>
          <w:kern w:val="0"/>
          <w:szCs w:val="28"/>
          <w:lang w:bidi="ar"/>
        </w:rPr>
        <w:t>2025</w:t>
      </w:r>
      <w:r>
        <w:rPr>
          <w:rFonts w:hint="eastAsia" w:ascii="仿宋" w:hAnsi="仿宋" w:cs="仿宋"/>
          <w:color w:val="0C0C0C"/>
          <w:kern w:val="0"/>
          <w:szCs w:val="28"/>
          <w:lang w:bidi="ar"/>
        </w:rPr>
        <w:t>年基本普及卫生厕所。切实提高改厕质量，科学选择改厕技术模式，宜水则水、宜旱则旱。加强厕所粪污无害化处理与资源化利用，因地制宜推进厕所粪污分散处理、集中处理与纳入污水管网统一处理，鼓励联户、联村、村镇一体处理。科学布局建设农村生活垃圾“收、转、运”和无害化处理设施，持续推进农村生活垃圾源头分类减量和资源化利用，积极推进城乡环卫一体化管理。实施农村生活污水分区分类治理，</w:t>
      </w:r>
      <w:r>
        <w:rPr>
          <w:rFonts w:hint="eastAsia" w:ascii="仿宋" w:hAnsi="仿宋" w:cs="仿宋"/>
          <w:color w:val="000000"/>
          <w:kern w:val="0"/>
          <w:szCs w:val="28"/>
          <w:lang w:bidi="ar"/>
        </w:rPr>
        <w:t>优化城镇</w:t>
      </w:r>
      <w:r>
        <w:rPr>
          <w:rFonts w:hint="eastAsia" w:ascii="仿宋" w:hAnsi="仿宋" w:cs="仿宋"/>
          <w:color w:val="0C0C0C"/>
          <w:kern w:val="0"/>
          <w:szCs w:val="28"/>
          <w:lang w:bidi="ar"/>
        </w:rPr>
        <w:t>集中式与</w:t>
      </w:r>
      <w:r>
        <w:rPr>
          <w:rFonts w:hint="eastAsia" w:ascii="仿宋" w:hAnsi="仿宋" w:cs="仿宋"/>
          <w:color w:val="000000"/>
          <w:kern w:val="0"/>
          <w:szCs w:val="28"/>
          <w:lang w:bidi="ar"/>
        </w:rPr>
        <w:t>分散式污水处理设施</w:t>
      </w:r>
      <w:r>
        <w:rPr>
          <w:rFonts w:hint="eastAsia" w:ascii="仿宋" w:hAnsi="仿宋" w:cs="仿宋"/>
          <w:color w:val="0C0C0C"/>
          <w:kern w:val="0"/>
          <w:szCs w:val="28"/>
          <w:lang w:bidi="ar"/>
        </w:rPr>
        <w:t>布局，提升污水处理设施管理运营水平，推进城镇污水管网向周边村庄延伸。实施河湖水系综合整治，逐步消除农村黑臭水体，努力打造“水清、河畅、岸绿、景美”的村庄水环境。鼓励河长制湖长制体系向村级延伸，建立健全促进水质改善的长效运行维护机制。持续实施村容村貌提升行动，</w:t>
      </w:r>
      <w:r>
        <w:rPr>
          <w:rFonts w:hint="eastAsia" w:ascii="仿宋" w:hAnsi="仿宋" w:cs="仿宋"/>
          <w:color w:val="000000"/>
          <w:kern w:val="0"/>
          <w:szCs w:val="28"/>
          <w:lang w:bidi="ar"/>
        </w:rPr>
        <w:t>大力改善村庄公共环境，推进乡村片林、农田林网建设，</w:t>
      </w:r>
      <w:r>
        <w:rPr>
          <w:rFonts w:hint="eastAsia" w:ascii="仿宋" w:hAnsi="仿宋" w:cs="仿宋"/>
          <w:color w:val="0C0C0C"/>
          <w:kern w:val="0"/>
          <w:szCs w:val="28"/>
          <w:lang w:bidi="ar"/>
        </w:rPr>
        <w:t xml:space="preserve">打造美丽乡村升级版。 </w:t>
      </w:r>
    </w:p>
    <w:p w14:paraId="6B90FFC7">
      <w:pPr>
        <w:pStyle w:val="21"/>
        <w:ind w:firstLine="560"/>
        <w:rPr>
          <w:rFonts w:ascii="仿宋" w:hAnsi="仿宋" w:eastAsia="仿宋" w:cs="仿宋"/>
          <w:color w:val="0C0C0C"/>
          <w:kern w:val="0"/>
          <w:sz w:val="28"/>
          <w:szCs w:val="28"/>
          <w:lang w:bidi="ar"/>
        </w:rPr>
      </w:pPr>
      <w:r>
        <w:rPr>
          <w:rFonts w:hint="eastAsia" w:ascii="仿宋" w:hAnsi="仿宋" w:eastAsia="仿宋" w:cs="仿宋"/>
          <w:b/>
          <w:bCs/>
          <w:color w:val="0C0C0C"/>
          <w:kern w:val="0"/>
          <w:sz w:val="28"/>
          <w:szCs w:val="28"/>
          <w:lang w:bidi="ar"/>
        </w:rPr>
        <w:t>建立健全长效管护机制。</w:t>
      </w:r>
      <w:r>
        <w:rPr>
          <w:rFonts w:hint="eastAsia" w:ascii="仿宋" w:hAnsi="仿宋" w:eastAsia="仿宋" w:cs="仿宋"/>
          <w:color w:val="0C0C0C"/>
          <w:kern w:val="0"/>
          <w:sz w:val="28"/>
          <w:szCs w:val="28"/>
          <w:lang w:bidi="ar"/>
        </w:rPr>
        <w:t>持续开展村庄清洁行动，大力实施以“三清一改”（清理农村生活垃圾、清理村内塘沟、清理畜禽养殖粪污等农业生产废弃物，改变影响农村人居环境的不良习惯）为重点的村庄清洁行动，突出清理死角盲区。健全农村人居环境长效管护机制，明确政府和职责部门、运行管理单位责任，基本建立有制度、有标准、有队伍、有经费、有监督的村庄人居环境长效管护机制。</w:t>
      </w:r>
    </w:p>
    <w:p w14:paraId="16A8AE85">
      <w:pPr>
        <w:pStyle w:val="21"/>
        <w:ind w:firstLine="560"/>
        <w:rPr>
          <w:rFonts w:ascii="仿宋" w:hAnsi="仿宋" w:eastAsia="仿宋" w:cs="仿宋"/>
          <w:color w:val="0C0C0C"/>
          <w:kern w:val="0"/>
          <w:sz w:val="28"/>
          <w:szCs w:val="28"/>
          <w:lang w:bidi="ar"/>
        </w:rPr>
      </w:pPr>
      <w:r>
        <w:rPr>
          <w:rFonts w:hint="eastAsia" w:ascii="仿宋" w:hAnsi="仿宋" w:eastAsia="仿宋" w:cs="仿宋"/>
          <w:b/>
          <w:bCs/>
          <w:color w:val="0C0C0C"/>
          <w:kern w:val="0"/>
          <w:sz w:val="28"/>
          <w:szCs w:val="28"/>
          <w:lang w:bidi="ar"/>
        </w:rPr>
        <w:t>充分发挥农民主体作用。</w:t>
      </w:r>
      <w:r>
        <w:rPr>
          <w:rFonts w:hint="eastAsia" w:ascii="仿宋" w:hAnsi="仿宋" w:eastAsia="仿宋" w:cs="仿宋"/>
          <w:color w:val="0C0C0C"/>
          <w:kern w:val="0"/>
          <w:sz w:val="28"/>
          <w:szCs w:val="28"/>
          <w:lang w:bidi="ar"/>
        </w:rPr>
        <w:t>充分发挥基层党组织领导作用和党员先锋模范作用，在农村人居环境建设和整治中深入开展美好环境与幸福生活共同缔造活动。普及文明健康理念，发挥爱国卫生运动群众动员优势，加大健康宣传教育力度，普及卫生健康和疾病防控知识，倡导文明健康、绿色环保的生活方式，提高农民健康素养。</w:t>
      </w:r>
    </w:p>
    <w:p w14:paraId="1C48EE7B">
      <w:pPr>
        <w:widowControl/>
        <w:spacing w:line="420" w:lineRule="auto"/>
        <w:ind w:firstLine="560"/>
        <w:jc w:val="left"/>
        <w:outlineLvl w:val="2"/>
      </w:pPr>
      <w:r>
        <w:rPr>
          <w:rFonts w:hint="eastAsia" w:ascii="仿宋" w:hAnsi="仿宋" w:cs="仿宋"/>
          <w:b/>
          <w:bCs/>
          <w:color w:val="0C0C0C"/>
          <w:kern w:val="0"/>
          <w:szCs w:val="28"/>
          <w:lang w:bidi="ar"/>
        </w:rPr>
        <w:t>四、提升农村生态环境监管能力</w:t>
      </w:r>
      <w:r>
        <w:rPr>
          <w:rFonts w:hint="eastAsia" w:ascii="仿宋" w:hAnsi="仿宋" w:cs="仿宋"/>
          <w:b/>
          <w:bCs/>
          <w:color w:val="0C0C0C"/>
          <w:kern w:val="0"/>
          <w:sz w:val="30"/>
          <w:szCs w:val="30"/>
          <w:lang w:bidi="ar"/>
        </w:rPr>
        <w:t xml:space="preserve"> </w:t>
      </w:r>
    </w:p>
    <w:p w14:paraId="0837E66F">
      <w:pPr>
        <w:widowControl/>
        <w:spacing w:line="420" w:lineRule="auto"/>
        <w:ind w:firstLine="560"/>
        <w:jc w:val="left"/>
      </w:pPr>
      <w:r>
        <w:rPr>
          <w:rFonts w:hint="eastAsia" w:ascii="仿宋" w:hAnsi="仿宋" w:cs="仿宋"/>
          <w:color w:val="0C0C0C"/>
          <w:kern w:val="0"/>
          <w:szCs w:val="28"/>
          <w:lang w:bidi="ar"/>
        </w:rPr>
        <w:t>探索建立农业面源污染调查监测评估体系。建立完善农村环境质量监测网络，划分农业面源污染优先控制单元。开展农业面源污染综合整治和监管试点，建设农业面源污染监测“一张网”，严格控制农业面源污染。建立健全农村环境基础设施建设与运行机制，加强环境基础设施运维与监管，严格农业农村环境监管执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371E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302" w:type="dxa"/>
            <w:vAlign w:val="center"/>
          </w:tcPr>
          <w:p w14:paraId="06E556A4">
            <w:pPr>
              <w:pStyle w:val="23"/>
              <w:ind w:firstLine="0" w:firstLineChars="0"/>
              <w:contextualSpacing/>
              <w:jc w:val="center"/>
              <w:rPr>
                <w:rFonts w:eastAsia="仿宋_GB2312"/>
                <w:b/>
                <w:bCs/>
                <w:szCs w:val="28"/>
              </w:rPr>
            </w:pPr>
            <w:r>
              <w:rPr>
                <w:rFonts w:eastAsia="仿宋_GB2312"/>
                <w:b/>
                <w:bCs/>
                <w:sz w:val="24"/>
              </w:rPr>
              <w:t>专栏</w:t>
            </w:r>
            <w:r>
              <w:rPr>
                <w:rFonts w:hint="eastAsia" w:eastAsia="仿宋_GB2312"/>
                <w:b/>
                <w:bCs/>
                <w:sz w:val="24"/>
              </w:rPr>
              <w:t>3</w:t>
            </w:r>
            <w:r>
              <w:rPr>
                <w:rFonts w:eastAsia="仿宋_GB2312"/>
                <w:b/>
                <w:bCs/>
                <w:sz w:val="24"/>
              </w:rPr>
              <w:t xml:space="preserve">  农村环境综合整治重点工程</w:t>
            </w:r>
          </w:p>
        </w:tc>
      </w:tr>
      <w:tr w14:paraId="7798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2" w:type="dxa"/>
          </w:tcPr>
          <w:p w14:paraId="2010EE03">
            <w:pPr>
              <w:pStyle w:val="23"/>
              <w:spacing w:before="156" w:beforeLines="50" w:line="360" w:lineRule="auto"/>
              <w:ind w:firstLine="0" w:firstLineChars="0"/>
              <w:contextualSpacing/>
              <w:rPr>
                <w:rFonts w:eastAsia="仿宋_GB2312"/>
                <w:sz w:val="24"/>
              </w:rPr>
            </w:pPr>
            <w:r>
              <w:rPr>
                <w:rFonts w:hint="eastAsia" w:eastAsia="仿宋_GB2312"/>
                <w:b/>
                <w:bCs/>
                <w:sz w:val="24"/>
              </w:rPr>
              <w:t>（1）</w:t>
            </w:r>
            <w:r>
              <w:rPr>
                <w:rFonts w:eastAsia="仿宋_GB2312"/>
                <w:b/>
                <w:bCs/>
                <w:sz w:val="24"/>
              </w:rPr>
              <w:t>农村</w:t>
            </w:r>
            <w:r>
              <w:rPr>
                <w:rFonts w:hint="eastAsia" w:eastAsia="仿宋_GB2312"/>
                <w:b/>
                <w:bCs/>
                <w:sz w:val="24"/>
              </w:rPr>
              <w:t>人居环境综合整治</w:t>
            </w:r>
            <w:r>
              <w:rPr>
                <w:rFonts w:eastAsia="仿宋_GB2312"/>
                <w:b/>
                <w:bCs/>
                <w:sz w:val="24"/>
              </w:rPr>
              <w:t>：</w:t>
            </w:r>
            <w:r>
              <w:rPr>
                <w:rFonts w:eastAsia="仿宋_GB2312"/>
                <w:sz w:val="24"/>
              </w:rPr>
              <w:t>砀山县农村人居环境整治</w:t>
            </w:r>
            <w:r>
              <w:rPr>
                <w:rFonts w:hint="eastAsia" w:eastAsia="仿宋_GB2312"/>
                <w:sz w:val="24"/>
              </w:rPr>
              <w:t>、砀山县乡村整体提升建设项目</w:t>
            </w:r>
            <w:r>
              <w:rPr>
                <w:rFonts w:eastAsia="仿宋_GB2312"/>
                <w:sz w:val="24"/>
              </w:rPr>
              <w:t>。</w:t>
            </w:r>
          </w:p>
          <w:p w14:paraId="45F831EA">
            <w:pPr>
              <w:pStyle w:val="23"/>
              <w:spacing w:line="360" w:lineRule="auto"/>
              <w:ind w:firstLine="0" w:firstLineChars="0"/>
              <w:contextualSpacing/>
              <w:rPr>
                <w:rFonts w:eastAsia="仿宋_GB2312"/>
                <w:b/>
                <w:bCs/>
                <w:sz w:val="24"/>
              </w:rPr>
            </w:pPr>
            <w:r>
              <w:rPr>
                <w:rFonts w:hint="eastAsia" w:eastAsia="仿宋_GB2312"/>
                <w:b/>
                <w:bCs/>
                <w:sz w:val="24"/>
              </w:rPr>
              <w:t>（2）美丽乡村建设</w:t>
            </w:r>
            <w:r>
              <w:rPr>
                <w:rFonts w:eastAsia="仿宋_GB2312"/>
                <w:b/>
                <w:bCs/>
                <w:sz w:val="24"/>
              </w:rPr>
              <w:t>：</w:t>
            </w:r>
            <w:r>
              <w:rPr>
                <w:rFonts w:eastAsia="仿宋_GB2312"/>
                <w:bCs/>
                <w:sz w:val="24"/>
              </w:rPr>
              <w:t>砀山县美丽乡村建设项目。</w:t>
            </w:r>
          </w:p>
        </w:tc>
        <w:bookmarkStart w:id="35" w:name="_TOC_250047"/>
        <w:bookmarkStart w:id="36" w:name="_TOC_250045"/>
        <w:bookmarkStart w:id="37" w:name="_TOC_250046"/>
      </w:tr>
      <w:bookmarkEnd w:id="35"/>
      <w:bookmarkEnd w:id="36"/>
      <w:bookmarkEnd w:id="37"/>
    </w:tbl>
    <w:p w14:paraId="5AB0DA5C">
      <w:pPr>
        <w:pStyle w:val="3"/>
        <w:rPr>
          <w:szCs w:val="32"/>
        </w:rPr>
      </w:pPr>
      <w:bookmarkStart w:id="38" w:name="_Toc26739"/>
      <w:r>
        <w:rPr>
          <w:rFonts w:hint="eastAsia"/>
        </w:rPr>
        <w:t>第六节 有序推进突出问题整改</w:t>
      </w:r>
      <w:bookmarkEnd w:id="38"/>
    </w:p>
    <w:p w14:paraId="676DB262">
      <w:pPr>
        <w:pStyle w:val="27"/>
        <w:rPr>
          <w:rFonts w:cs="宋体"/>
          <w:color w:val="0C0C0C"/>
          <w:szCs w:val="30"/>
          <w:lang w:bidi="zh-CN"/>
        </w:rPr>
      </w:pPr>
      <w:r>
        <w:rPr>
          <w:rFonts w:hint="eastAsia" w:cs="宋体"/>
          <w:color w:val="0C0C0C"/>
          <w:szCs w:val="30"/>
          <w:lang w:bidi="zh-CN"/>
        </w:rPr>
        <w:t>继续坚持和完善“双向交办”、定期调度、考核问责等工作机制，严格按照验收销号流程，促进各类问题从严从实整改，如期完成年度销号任务。同时，按照销号不销监管、不销责任的原则，压实管发展、管行业、管生产必须管环保的行业监管责任，督导各地、各部门主动作为，落实常态长效监管机制，及时发现和整治本地、本系统内突出生态环境问题，以实实在在的整改成效，促进全县生态环境质量持续不断提升。</w:t>
      </w:r>
    </w:p>
    <w:p w14:paraId="6FDC300C">
      <w:pPr>
        <w:ind w:firstLine="560"/>
      </w:pPr>
      <w:r>
        <w:rPr>
          <w:rFonts w:hint="eastAsia"/>
        </w:rPr>
        <w:br w:type="page"/>
      </w:r>
    </w:p>
    <w:p w14:paraId="6F318065">
      <w:pPr>
        <w:pStyle w:val="2"/>
      </w:pPr>
      <w:bookmarkStart w:id="39" w:name="_Toc7449"/>
      <w:r>
        <w:rPr>
          <w:rFonts w:hint="eastAsia"/>
        </w:rPr>
        <w:t>第五章 强化生态保护修复，优化国土空间开发格局</w:t>
      </w:r>
      <w:bookmarkEnd w:id="39"/>
    </w:p>
    <w:p w14:paraId="004FB94B">
      <w:pPr>
        <w:pStyle w:val="3"/>
        <w:rPr>
          <w:szCs w:val="32"/>
        </w:rPr>
      </w:pPr>
      <w:bookmarkStart w:id="40" w:name="_Toc10425"/>
      <w:r>
        <w:rPr>
          <w:rFonts w:hint="eastAsia"/>
        </w:rPr>
        <w:t>第一节 优化国土空间开发保护格局</w:t>
      </w:r>
      <w:bookmarkEnd w:id="40"/>
    </w:p>
    <w:p w14:paraId="2CB62919">
      <w:pPr>
        <w:widowControl/>
        <w:spacing w:line="420" w:lineRule="auto"/>
        <w:ind w:firstLine="560"/>
        <w:jc w:val="left"/>
        <w:outlineLvl w:val="2"/>
      </w:pPr>
      <w:r>
        <w:rPr>
          <w:rFonts w:hint="eastAsia" w:ascii="仿宋" w:hAnsi="仿宋" w:cs="仿宋"/>
          <w:b/>
          <w:color w:val="000000"/>
          <w:kern w:val="0"/>
          <w:szCs w:val="28"/>
          <w:lang w:bidi="ar"/>
        </w:rPr>
        <w:t>一、建立健全国土空间规划体系</w:t>
      </w:r>
      <w:r>
        <w:rPr>
          <w:rFonts w:ascii="仿宋" w:hAnsi="仿宋" w:cs="仿宋"/>
          <w:b/>
          <w:color w:val="000000"/>
          <w:kern w:val="0"/>
          <w:sz w:val="30"/>
          <w:szCs w:val="30"/>
          <w:lang w:bidi="ar"/>
        </w:rPr>
        <w:t xml:space="preserve"> </w:t>
      </w:r>
    </w:p>
    <w:p w14:paraId="6005EE7F">
      <w:pPr>
        <w:widowControl/>
        <w:spacing w:line="420" w:lineRule="auto"/>
        <w:ind w:firstLine="560"/>
        <w:jc w:val="left"/>
      </w:pPr>
      <w:r>
        <w:rPr>
          <w:rFonts w:hint="eastAsia" w:ascii="仿宋" w:hAnsi="仿宋" w:cs="仿宋"/>
          <w:b/>
          <w:bCs/>
          <w:color w:val="000000"/>
          <w:kern w:val="0"/>
          <w:szCs w:val="28"/>
          <w:lang w:bidi="ar"/>
        </w:rPr>
        <w:t>建立国土空间规划体系。</w:t>
      </w:r>
      <w:r>
        <w:rPr>
          <w:rFonts w:hint="eastAsia" w:ascii="仿宋" w:hAnsi="仿宋" w:cs="仿宋"/>
          <w:color w:val="000000"/>
          <w:kern w:val="0"/>
          <w:szCs w:val="28"/>
          <w:lang w:bidi="ar"/>
        </w:rPr>
        <w:t xml:space="preserve">落实长三角一体化发展、淮海生态经济带建设等区域重大战略、区域协调发展战略、主体功能区战略，合理确定全县生态空间、农业空间、城镇空间等功能空间，科学从严划定生态保护红线、永久基本农田、城镇开发边界等空间管控边界，编制县国土空间总体规划、详细规划和专项规划，构建统一规范的国土空间规划体系。 </w:t>
      </w:r>
    </w:p>
    <w:p w14:paraId="047D9C7E">
      <w:pPr>
        <w:widowControl/>
        <w:spacing w:line="420" w:lineRule="auto"/>
        <w:ind w:firstLine="560"/>
        <w:jc w:val="left"/>
      </w:pPr>
      <w:r>
        <w:rPr>
          <w:rFonts w:hint="eastAsia" w:ascii="仿宋" w:hAnsi="仿宋" w:cs="仿宋"/>
          <w:b/>
          <w:bCs/>
          <w:color w:val="000000"/>
          <w:kern w:val="0"/>
          <w:szCs w:val="28"/>
          <w:lang w:bidi="ar"/>
        </w:rPr>
        <w:t>优化国土空间布局。</w:t>
      </w:r>
      <w:r>
        <w:rPr>
          <w:rFonts w:hint="eastAsia" w:ascii="仿宋" w:hAnsi="仿宋" w:cs="仿宋"/>
          <w:color w:val="000000"/>
          <w:kern w:val="0"/>
          <w:szCs w:val="28"/>
          <w:lang w:bidi="ar"/>
        </w:rPr>
        <w:t>以国土空间规划为依据，以生态保护红线、环境质量底线、资源利用上线和环境准入负面清单为手段，强化空间、总量、准入环境管理，推进国土空间开发与保护的精细化管理，对所有国土空间分区分类实施用途管制</w:t>
      </w:r>
      <w:r>
        <w:rPr>
          <w:rFonts w:hint="eastAsia" w:ascii="仿宋" w:hAnsi="仿宋" w:cs="仿宋"/>
          <w:color w:val="0C0C0C"/>
          <w:kern w:val="0"/>
          <w:szCs w:val="28"/>
          <w:lang w:bidi="ar"/>
        </w:rPr>
        <w:t xml:space="preserve">，保留管理和创新活动空间。以“多规合一”为基础，统筹规划、建设、管理三大环节，推动“多审合一”、“多证合一”。 </w:t>
      </w:r>
    </w:p>
    <w:p w14:paraId="077BB6B8">
      <w:pPr>
        <w:widowControl/>
        <w:spacing w:line="420" w:lineRule="auto"/>
        <w:ind w:firstLine="560"/>
        <w:jc w:val="left"/>
        <w:outlineLvl w:val="2"/>
        <w:rPr>
          <w:rFonts w:ascii="仿宋" w:hAnsi="仿宋" w:cs="仿宋"/>
          <w:szCs w:val="28"/>
        </w:rPr>
      </w:pPr>
      <w:r>
        <w:rPr>
          <w:rFonts w:hint="eastAsia" w:ascii="仿宋" w:hAnsi="仿宋" w:cs="仿宋"/>
          <w:b/>
          <w:color w:val="000000"/>
          <w:kern w:val="0"/>
          <w:szCs w:val="28"/>
          <w:lang w:bidi="ar"/>
        </w:rPr>
        <w:t xml:space="preserve">二、严格生态空间保护 </w:t>
      </w:r>
    </w:p>
    <w:p w14:paraId="391E1754">
      <w:pPr>
        <w:widowControl/>
        <w:spacing w:line="420" w:lineRule="auto"/>
        <w:ind w:firstLine="560"/>
        <w:jc w:val="left"/>
      </w:pPr>
      <w:r>
        <w:rPr>
          <w:rFonts w:hint="eastAsia" w:ascii="仿宋" w:hAnsi="仿宋" w:cs="仿宋"/>
          <w:color w:val="0C0C0C"/>
          <w:kern w:val="0"/>
          <w:szCs w:val="28"/>
          <w:lang w:bidi="ar"/>
        </w:rPr>
        <w:t xml:space="preserve">坚持“山水林田湖草”系统治理，全面实施国土绿化提升行动，持续扩大绿色生态空间，不断夯实砀山县绿色生态本底。加强对生态空间整体保护和修复，重点开展黄河故道生态保护，提升生态系统质量和稳定性。严格管制各类开发活动，合理确定开发强度，加强重点生态功能区保护和管理，严格实施生态保护红线、环境质量底线、资源利用上线和环境准入负面清单的“三线一单”，确保发展不超载、底线不突破。 </w:t>
      </w:r>
    </w:p>
    <w:p w14:paraId="73AA6F94">
      <w:pPr>
        <w:widowControl/>
        <w:spacing w:line="420" w:lineRule="auto"/>
        <w:ind w:firstLine="560"/>
        <w:jc w:val="left"/>
        <w:outlineLvl w:val="2"/>
      </w:pPr>
      <w:r>
        <w:rPr>
          <w:rFonts w:hint="eastAsia" w:ascii="仿宋" w:hAnsi="仿宋" w:cs="仿宋"/>
          <w:b/>
          <w:color w:val="000000"/>
          <w:kern w:val="0"/>
          <w:szCs w:val="28"/>
          <w:lang w:bidi="ar"/>
        </w:rPr>
        <w:t>三、严守生态保护红线</w:t>
      </w:r>
      <w:r>
        <w:rPr>
          <w:rFonts w:hint="eastAsia" w:ascii="仿宋" w:hAnsi="仿宋" w:cs="仿宋"/>
          <w:b/>
          <w:color w:val="000000"/>
          <w:kern w:val="0"/>
          <w:sz w:val="30"/>
          <w:szCs w:val="30"/>
          <w:lang w:bidi="ar"/>
        </w:rPr>
        <w:t xml:space="preserve"> </w:t>
      </w:r>
    </w:p>
    <w:p w14:paraId="57F766F4">
      <w:pPr>
        <w:pStyle w:val="5"/>
        <w:spacing w:before="156" w:beforeLines="50" w:after="0"/>
        <w:ind w:firstLine="560"/>
        <w:rPr>
          <w:szCs w:val="28"/>
        </w:rPr>
      </w:pPr>
      <w:r>
        <w:rPr>
          <w:rFonts w:hint="eastAsia"/>
          <w:szCs w:val="28"/>
        </w:rPr>
        <w:t>（一）</w:t>
      </w:r>
      <w:r>
        <w:rPr>
          <w:rFonts w:hint="eastAsia"/>
          <w:bCs/>
          <w:szCs w:val="28"/>
        </w:rPr>
        <w:t>加强生态红线区域管控</w:t>
      </w:r>
    </w:p>
    <w:p w14:paraId="573EDDF1">
      <w:pPr>
        <w:keepNext/>
        <w:keepLines/>
        <w:spacing w:line="420" w:lineRule="auto"/>
        <w:ind w:firstLine="560"/>
        <w:rPr>
          <w:sz w:val="30"/>
          <w:szCs w:val="30"/>
        </w:rPr>
      </w:pPr>
      <w:r>
        <w:rPr>
          <w:bCs/>
          <w:szCs w:val="28"/>
        </w:rPr>
        <w:t>落实国家、省市主体功能区战略，科学划定生产、生活和生态空间，依法在重点生态功能区、生态环境敏感区和脆弱区等区域划定生态保护红线，实行严格保护，确保生态功能不降低、面积不减少、性质不改变；科学划定森林、湿地等领域生态红线，严格自然生态空间征（占）用管理，有效遏制生态系统退化的趋势。明确生态红线保护区边界，严禁不符合主体功能定位的各类开发活动，严禁任意改变用途</w:t>
      </w:r>
      <w:r>
        <w:rPr>
          <w:rFonts w:hint="eastAsia"/>
          <w:bCs/>
          <w:szCs w:val="28"/>
        </w:rPr>
        <w:t>，</w:t>
      </w:r>
      <w:r>
        <w:rPr>
          <w:bCs/>
          <w:szCs w:val="28"/>
        </w:rPr>
        <w:t>严格保护重要水源、湿地、森林等自然生态资源</w:t>
      </w:r>
      <w:r>
        <w:rPr>
          <w:rFonts w:hint="eastAsia"/>
          <w:bCs/>
          <w:szCs w:val="28"/>
        </w:rPr>
        <w:t>。</w:t>
      </w:r>
    </w:p>
    <w:p w14:paraId="3D2ADA82">
      <w:pPr>
        <w:pStyle w:val="5"/>
        <w:spacing w:before="0" w:after="0" w:line="480" w:lineRule="auto"/>
        <w:ind w:firstLine="560"/>
        <w:rPr>
          <w:bCs/>
          <w:szCs w:val="28"/>
        </w:rPr>
      </w:pPr>
      <w:r>
        <w:rPr>
          <w:rFonts w:hint="eastAsia"/>
          <w:szCs w:val="28"/>
        </w:rPr>
        <w:t>（二）</w:t>
      </w:r>
      <w:r>
        <w:rPr>
          <w:rFonts w:hint="eastAsia"/>
          <w:bCs/>
          <w:szCs w:val="28"/>
        </w:rPr>
        <w:t>坚实推进“三线一单”落实落地</w:t>
      </w:r>
    </w:p>
    <w:p w14:paraId="414034D0">
      <w:pPr>
        <w:tabs>
          <w:tab w:val="left" w:pos="1557"/>
        </w:tabs>
        <w:ind w:firstLine="560"/>
        <w:jc w:val="left"/>
        <w:rPr>
          <w:bCs/>
          <w:szCs w:val="28"/>
        </w:rPr>
      </w:pPr>
      <w:r>
        <w:rPr>
          <w:rFonts w:hint="eastAsia"/>
          <w:bCs/>
          <w:szCs w:val="28"/>
        </w:rPr>
        <w:t>“三线一单”是深入贯彻落实习近平总书记关于长江经济带“共抓大保护，不搞大开发”重要指示精神的具体践行，作为打好污染防治攻坚战、促进全省高质量发展的重要举措和抓手。“三线一单”编制和发布是基础，“十四五”时期，要在实践中不断拓展应用体系，完善应用机制，服务好新形势下的生态环境保护工作。建立“三线一单”数据管理应用平台，实现编制成果信息化应用和省市县三级共享，具备选址布局分析、风险热点识别、准入分析研判、流域管理分析、信息共享应用等多项功能。国土空间规划、生态保护红线评估应与“三线一单”成果衔接，指导相关部门“十四五”规划编制、规划环评审查、建设项目选址选线、产业园区项目招商引资落地以及环境监管等方面的落地应用。</w:t>
      </w:r>
    </w:p>
    <w:p w14:paraId="213D04B5">
      <w:pPr>
        <w:tabs>
          <w:tab w:val="left" w:pos="1380"/>
        </w:tabs>
        <w:ind w:firstLine="560"/>
        <w:jc w:val="left"/>
        <w:outlineLvl w:val="3"/>
        <w:rPr>
          <w:b/>
          <w:bCs/>
          <w:szCs w:val="28"/>
        </w:rPr>
      </w:pPr>
      <w:r>
        <w:rPr>
          <w:rFonts w:hint="eastAsia"/>
          <w:b/>
          <w:bCs/>
          <w:szCs w:val="28"/>
        </w:rPr>
        <w:t>（三）切实强化生态空间用途管控</w:t>
      </w:r>
    </w:p>
    <w:p w14:paraId="53313C3A">
      <w:pPr>
        <w:widowControl/>
        <w:spacing w:line="420" w:lineRule="auto"/>
        <w:ind w:firstLine="560"/>
        <w:jc w:val="left"/>
        <w:rPr>
          <w:bCs/>
          <w:szCs w:val="28"/>
        </w:rPr>
      </w:pPr>
      <w:r>
        <w:rPr>
          <w:rFonts w:hint="eastAsia"/>
          <w:bCs/>
          <w:szCs w:val="28"/>
        </w:rPr>
        <w:t>切实强化生态空间用途管控。将生态环境分区管控体系作为监督开发建设行为和生产活动的重要依据，将优先保护单元和重点管控单元作为生态环境监管的重点区域，将生态环境分区管控要求作为生态环境监管的重点内容。加强生态保护红线面积、功能、性质和管理实施情况的监控，开展生态保护红线监测预警。进一步优化全县生态网络空间结构，着力提高生态环境基础数据的精细化、系统化水平。准确把握资源环境承载力、环境容量等空间信息，严格落实生态保护红线、环境质量底线、资源利用上线要求，推动生态环境保护工作主动引领和积极服务于国土空间规划，提升生态环境精准化管理水平。在国土空间规划基础上细化空间控制单元，编制环境准入清单，推进生态环境分类分区管治。</w:t>
      </w:r>
    </w:p>
    <w:p w14:paraId="293C64E2">
      <w:pPr>
        <w:widowControl/>
        <w:spacing w:line="420" w:lineRule="auto"/>
        <w:ind w:firstLine="560"/>
        <w:jc w:val="left"/>
        <w:outlineLvl w:val="3"/>
        <w:rPr>
          <w:rFonts w:ascii="仿宋" w:hAnsi="仿宋" w:cs="仿宋"/>
          <w:b/>
          <w:bCs/>
          <w:color w:val="0C0C0C"/>
          <w:kern w:val="0"/>
          <w:szCs w:val="28"/>
          <w:lang w:bidi="ar"/>
        </w:rPr>
      </w:pPr>
      <w:r>
        <w:rPr>
          <w:rFonts w:hint="eastAsia" w:ascii="仿宋" w:hAnsi="仿宋" w:cs="仿宋"/>
          <w:b/>
          <w:bCs/>
          <w:color w:val="0C0C0C"/>
          <w:kern w:val="0"/>
          <w:szCs w:val="28"/>
          <w:lang w:bidi="ar"/>
        </w:rPr>
        <w:t>（四）强化管理责任和执法监督</w:t>
      </w:r>
    </w:p>
    <w:p w14:paraId="462F0518">
      <w:pPr>
        <w:widowControl/>
        <w:spacing w:line="420" w:lineRule="auto"/>
        <w:ind w:firstLine="560"/>
        <w:jc w:val="left"/>
      </w:pPr>
      <w:r>
        <w:rPr>
          <w:rFonts w:hint="eastAsia" w:ascii="仿宋" w:hAnsi="仿宋" w:cs="仿宋"/>
          <w:color w:val="0C0C0C"/>
          <w:kern w:val="0"/>
          <w:szCs w:val="28"/>
          <w:lang w:bidi="ar"/>
        </w:rPr>
        <w:t>明确部门职责分工，加强监督管理，做好指导协调、日常巡护和执法监管，共守生态保护红线，建立目标责任制，把保护目标、任务和要求层层分解，落到实处。创新激励约束机制，对生态保护红线成效突出的单位和个人予以奖励；对造成破坏的，依法依规予以严肃处理。根据需要设置生态保护红线管护岗位，提高居民参与生态保护的积极性。建立生态保护红线常态化执法机制，定期开展执法督查，不断提高执法规范化水平。及时发现和依法处罚破坏生态保护红线的违法行为，切实做到有案必查、违法必究。</w:t>
      </w:r>
    </w:p>
    <w:p w14:paraId="57F7E80F">
      <w:pPr>
        <w:pStyle w:val="3"/>
      </w:pPr>
      <w:bookmarkStart w:id="41" w:name="_Toc8725"/>
      <w:r>
        <w:rPr>
          <w:rFonts w:hint="eastAsia"/>
        </w:rPr>
        <w:t>第二节 建立健全生态系统保护、修复与补偿机制</w:t>
      </w:r>
      <w:bookmarkEnd w:id="41"/>
    </w:p>
    <w:p w14:paraId="47E78321">
      <w:pPr>
        <w:widowControl/>
        <w:spacing w:line="420" w:lineRule="auto"/>
        <w:ind w:firstLine="560"/>
        <w:jc w:val="left"/>
        <w:outlineLvl w:val="2"/>
      </w:pPr>
      <w:r>
        <w:rPr>
          <w:rFonts w:hint="eastAsia" w:ascii="仿宋" w:hAnsi="仿宋" w:cs="仿宋"/>
          <w:b/>
          <w:color w:val="000000"/>
          <w:kern w:val="0"/>
          <w:szCs w:val="28"/>
          <w:lang w:bidi="ar"/>
        </w:rPr>
        <w:t>一、推进矿山生态恢复治理</w:t>
      </w:r>
      <w:r>
        <w:rPr>
          <w:rFonts w:hint="eastAsia" w:ascii="仿宋" w:hAnsi="仿宋" w:cs="仿宋"/>
          <w:b/>
          <w:color w:val="000000"/>
          <w:kern w:val="0"/>
          <w:sz w:val="30"/>
          <w:szCs w:val="30"/>
          <w:lang w:bidi="ar"/>
        </w:rPr>
        <w:t xml:space="preserve"> </w:t>
      </w:r>
    </w:p>
    <w:p w14:paraId="1629A572">
      <w:pPr>
        <w:widowControl/>
        <w:spacing w:line="420" w:lineRule="auto"/>
        <w:ind w:firstLine="560"/>
        <w:jc w:val="left"/>
      </w:pPr>
      <w:r>
        <w:rPr>
          <w:rFonts w:hint="eastAsia" w:ascii="仿宋" w:hAnsi="仿宋" w:cs="仿宋"/>
          <w:color w:val="0C0C0C"/>
          <w:kern w:val="0"/>
          <w:szCs w:val="28"/>
          <w:lang w:bidi="ar"/>
        </w:rPr>
        <w:t xml:space="preserve">开展矿山生态修复治理“回头看”，全面评估矿山生态修复治理成效，严厉整治“两断三清”不彻底、矿山复绿效果不明显等问题，总结凝练经验和先进模式并推广应用。推进新建矿山按照绿色矿山标准规划、设计和建设，严禁采用国家限制和淘汰的采选技术、工艺和设备，强化矿山环境污染防治与生态恢复治理。加强生产矿山开采活动与造地、复垦、恢复植被等生态修复同步实施。开展关闭矿山和采煤塌陷区综合治理，结合矿山周边乡镇发展需求，制定相应生态环境修复方案，并监督企业落实生态环境修复。 </w:t>
      </w:r>
    </w:p>
    <w:p w14:paraId="14030DF9">
      <w:pPr>
        <w:widowControl/>
        <w:spacing w:line="420" w:lineRule="auto"/>
        <w:ind w:firstLine="560"/>
        <w:jc w:val="left"/>
        <w:outlineLvl w:val="2"/>
        <w:rPr>
          <w:rFonts w:ascii="仿宋" w:hAnsi="仿宋" w:cs="仿宋"/>
          <w:szCs w:val="28"/>
        </w:rPr>
      </w:pPr>
      <w:r>
        <w:rPr>
          <w:rFonts w:hint="eastAsia" w:ascii="仿宋" w:hAnsi="仿宋" w:cs="仿宋"/>
          <w:b/>
          <w:color w:val="000000"/>
          <w:kern w:val="0"/>
          <w:szCs w:val="28"/>
          <w:lang w:bidi="ar"/>
        </w:rPr>
        <w:t xml:space="preserve">二、强化水土流失治理 </w:t>
      </w:r>
    </w:p>
    <w:p w14:paraId="2D86AB6B">
      <w:pPr>
        <w:widowControl/>
        <w:spacing w:line="420" w:lineRule="auto"/>
        <w:ind w:firstLine="560"/>
      </w:pPr>
      <w:r>
        <w:rPr>
          <w:rFonts w:hint="eastAsia" w:ascii="仿宋" w:hAnsi="仿宋" w:cs="仿宋"/>
          <w:color w:val="0C0C0C"/>
          <w:kern w:val="0"/>
          <w:szCs w:val="28"/>
          <w:lang w:bidi="ar"/>
        </w:rPr>
        <w:t>坚持“预防为主，保护优先”，突出加强以小流域为单元的水土流失综合治理，配套建设蓄排引水工程，营造水土保持林和农田防护林，开展坡耕地治理和废弃矿山生态修复，健全生态系统休养生息制度，合理实施禁养、禁伐、禁采。持续实施《宿州市水土保持规划（</w:t>
      </w:r>
      <w:r>
        <w:rPr>
          <w:rFonts w:eastAsia="宋体"/>
          <w:color w:val="0C0C0C"/>
          <w:kern w:val="0"/>
          <w:szCs w:val="28"/>
          <w:lang w:bidi="ar"/>
        </w:rPr>
        <w:t>2017-2030</w:t>
      </w:r>
      <w:r>
        <w:rPr>
          <w:rFonts w:hint="eastAsia" w:ascii="仿宋" w:hAnsi="仿宋" w:cs="仿宋"/>
          <w:color w:val="0C0C0C"/>
          <w:kern w:val="0"/>
          <w:szCs w:val="28"/>
          <w:lang w:bidi="ar"/>
        </w:rPr>
        <w:t>年）》，</w:t>
      </w:r>
      <w:r>
        <w:rPr>
          <w:color w:val="0C0C0C"/>
          <w:kern w:val="0"/>
          <w:szCs w:val="28"/>
          <w:lang w:bidi="ar"/>
        </w:rPr>
        <w:t>到2030年，全市新增治理水土流失面积267万平方公里，水土流失面积占全市国地面积的比例下降到0.5%以下，年均减少土壤流失量65万吨，基本建成与宿州市经济社会发展相适应的沙土流失综合防治体系</w:t>
      </w:r>
      <w:r>
        <w:rPr>
          <w:rFonts w:hint="eastAsia" w:ascii="仿宋" w:hAnsi="仿宋" w:cs="仿宋"/>
          <w:color w:val="0C0C0C"/>
          <w:kern w:val="0"/>
          <w:szCs w:val="28"/>
          <w:lang w:bidi="ar"/>
        </w:rPr>
        <w:t>。</w:t>
      </w:r>
    </w:p>
    <w:p w14:paraId="55A0B75F">
      <w:pPr>
        <w:widowControl/>
        <w:spacing w:line="420" w:lineRule="auto"/>
        <w:ind w:firstLine="560"/>
        <w:jc w:val="left"/>
        <w:outlineLvl w:val="2"/>
        <w:rPr>
          <w:rFonts w:ascii="仿宋" w:hAnsi="仿宋" w:cs="仿宋"/>
          <w:szCs w:val="28"/>
        </w:rPr>
      </w:pPr>
      <w:r>
        <w:rPr>
          <w:rFonts w:hint="eastAsia" w:ascii="仿宋" w:hAnsi="仿宋" w:cs="仿宋"/>
          <w:b/>
          <w:color w:val="0C0C0C"/>
          <w:kern w:val="0"/>
          <w:szCs w:val="28"/>
          <w:lang w:bidi="ar"/>
        </w:rPr>
        <w:t>三、</w:t>
      </w:r>
      <w:r>
        <w:rPr>
          <w:rFonts w:hint="eastAsia" w:ascii="仿宋" w:hAnsi="仿宋" w:cs="仿宋"/>
          <w:b/>
          <w:color w:val="000000"/>
          <w:kern w:val="0"/>
          <w:szCs w:val="28"/>
          <w:lang w:bidi="ar"/>
        </w:rPr>
        <w:t xml:space="preserve">加强森林生态系统保护 </w:t>
      </w:r>
    </w:p>
    <w:p w14:paraId="6F45A2C4">
      <w:pPr>
        <w:widowControl/>
        <w:spacing w:line="420" w:lineRule="auto"/>
        <w:ind w:firstLine="560"/>
        <w:jc w:val="left"/>
      </w:pPr>
      <w:r>
        <w:rPr>
          <w:rFonts w:hint="eastAsia" w:ascii="仿宋" w:hAnsi="仿宋" w:cs="仿宋"/>
          <w:color w:val="0C0C0C"/>
          <w:kern w:val="0"/>
          <w:szCs w:val="28"/>
          <w:lang w:bidi="ar"/>
        </w:rPr>
        <w:t xml:space="preserve">深化林长制改革，健全五级林长制体系，积极参与全国林长制改革示范区建设。完善天然林和公益林保护制度，将所有公益林纳入重点保护范围，加大林业执法力度。发展林业新兴产业和新业态，培育林木产业集群，促进林下经济高质量发展。 </w:t>
      </w:r>
    </w:p>
    <w:p w14:paraId="46014DA4">
      <w:pPr>
        <w:widowControl/>
        <w:spacing w:line="420" w:lineRule="auto"/>
        <w:ind w:firstLine="560"/>
        <w:jc w:val="left"/>
      </w:pPr>
      <w:r>
        <w:rPr>
          <w:rFonts w:hint="eastAsia" w:ascii="仿宋" w:hAnsi="仿宋" w:cs="仿宋"/>
          <w:color w:val="0C0C0C"/>
          <w:kern w:val="0"/>
          <w:szCs w:val="28"/>
          <w:lang w:bidi="ar"/>
        </w:rPr>
        <w:t>实施林业增绿增效、“四旁四边四创”国土绿化提升行动，大力开展护绿、增绿、管绿、用绿、活绿，提高森林覆盖率，推进森林城市、森林乡村建设。加快实施城乡绿化工程，强化防护林体系建设，完善提升各类公园，构建森林生态屏障，提升城乡生态环境质量。加强重大林业有害生物防治联防联控。普及优质树种栽培技术、出台专项激励政策，促进政府与社会合作，种植优质林木，改善生态环境，打造坚固生态屏障。到</w:t>
      </w:r>
      <w:r>
        <w:rPr>
          <w:color w:val="0C0C0C"/>
          <w:kern w:val="0"/>
          <w:szCs w:val="28"/>
          <w:lang w:bidi="ar"/>
        </w:rPr>
        <w:t>2025</w:t>
      </w:r>
      <w:r>
        <w:rPr>
          <w:rFonts w:hint="eastAsia" w:ascii="仿宋" w:hAnsi="仿宋" w:cs="仿宋"/>
          <w:color w:val="0C0C0C"/>
          <w:kern w:val="0"/>
          <w:szCs w:val="28"/>
          <w:lang w:bidi="ar"/>
        </w:rPr>
        <w:t>年，完成新增和更新造林</w:t>
      </w:r>
      <w:r>
        <w:rPr>
          <w:color w:val="0C0C0C"/>
          <w:kern w:val="0"/>
          <w:szCs w:val="28"/>
          <w:lang w:bidi="ar"/>
        </w:rPr>
        <w:t>2.4</w:t>
      </w:r>
      <w:r>
        <w:rPr>
          <w:rFonts w:hint="eastAsia" w:ascii="仿宋" w:hAnsi="仿宋" w:cs="仿宋"/>
          <w:color w:val="0C0C0C"/>
          <w:kern w:val="0"/>
          <w:szCs w:val="28"/>
          <w:lang w:bidi="ar"/>
        </w:rPr>
        <w:t xml:space="preserve">万亩，成功创建“国家森林城市”。 </w:t>
      </w:r>
    </w:p>
    <w:p w14:paraId="740F0910">
      <w:pPr>
        <w:widowControl/>
        <w:spacing w:line="420" w:lineRule="auto"/>
        <w:ind w:firstLine="560"/>
        <w:jc w:val="left"/>
        <w:outlineLvl w:val="2"/>
      </w:pPr>
      <w:r>
        <w:rPr>
          <w:rFonts w:hint="eastAsia" w:ascii="仿宋" w:hAnsi="仿宋" w:cs="仿宋"/>
          <w:b/>
          <w:color w:val="000000"/>
          <w:kern w:val="0"/>
          <w:szCs w:val="28"/>
          <w:lang w:bidi="ar"/>
        </w:rPr>
        <w:t>四、加大湿地保护与恢复力度</w:t>
      </w:r>
      <w:r>
        <w:rPr>
          <w:rFonts w:hint="eastAsia" w:ascii="仿宋" w:hAnsi="仿宋" w:cs="仿宋"/>
          <w:b/>
          <w:color w:val="000000"/>
          <w:kern w:val="0"/>
          <w:sz w:val="30"/>
          <w:szCs w:val="30"/>
          <w:lang w:bidi="ar"/>
        </w:rPr>
        <w:t xml:space="preserve"> </w:t>
      </w:r>
    </w:p>
    <w:p w14:paraId="1DA005C9">
      <w:pPr>
        <w:widowControl/>
        <w:spacing w:line="420" w:lineRule="auto"/>
        <w:ind w:firstLine="560"/>
        <w:jc w:val="left"/>
      </w:pPr>
      <w:r>
        <w:rPr>
          <w:rFonts w:hint="eastAsia" w:ascii="仿宋" w:hAnsi="仿宋" w:cs="仿宋"/>
          <w:b/>
          <w:bCs/>
          <w:color w:val="0C0C0C"/>
          <w:kern w:val="0"/>
          <w:szCs w:val="28"/>
          <w:lang w:bidi="ar"/>
        </w:rPr>
        <w:t>加强湿地保护。</w:t>
      </w:r>
      <w:r>
        <w:rPr>
          <w:rFonts w:hint="eastAsia" w:ascii="仿宋" w:hAnsi="仿宋" w:cs="仿宋"/>
          <w:color w:val="0C0C0C"/>
          <w:kern w:val="0"/>
          <w:szCs w:val="28"/>
          <w:lang w:bidi="ar"/>
        </w:rPr>
        <w:t>强化砀山酥梨种质资源自然保护区</w:t>
      </w:r>
      <w:r>
        <w:rPr>
          <w:color w:val="0C0C0C"/>
          <w:kern w:val="0"/>
          <w:szCs w:val="28"/>
          <w:lang w:bidi="ar"/>
        </w:rPr>
        <w:t>、砀山黄河故道省级自然保护区</w:t>
      </w:r>
      <w:r>
        <w:rPr>
          <w:rFonts w:hint="eastAsia" w:ascii="仿宋" w:hAnsi="仿宋" w:cs="仿宋"/>
          <w:color w:val="0C0C0C"/>
          <w:kern w:val="0"/>
          <w:szCs w:val="28"/>
          <w:lang w:bidi="ar"/>
        </w:rPr>
        <w:t xml:space="preserve">等自然保护地管理，严格控制生活污水、农业生产污染对湿地水系、水质的影响。严厉查处河坡、干涸河床围垦种植行为，保证湿地生态系统健康。 </w:t>
      </w:r>
    </w:p>
    <w:p w14:paraId="05D17534">
      <w:pPr>
        <w:widowControl/>
        <w:spacing w:line="420" w:lineRule="auto"/>
        <w:ind w:firstLine="560"/>
        <w:jc w:val="left"/>
      </w:pPr>
      <w:r>
        <w:rPr>
          <w:rFonts w:hint="eastAsia" w:ascii="仿宋" w:hAnsi="仿宋" w:cs="仿宋"/>
          <w:b/>
          <w:bCs/>
          <w:color w:val="0C0C0C"/>
          <w:kern w:val="0"/>
          <w:szCs w:val="28"/>
          <w:lang w:bidi="ar"/>
        </w:rPr>
        <w:t>推进湿地修复。</w:t>
      </w:r>
      <w:r>
        <w:rPr>
          <w:rFonts w:hint="eastAsia" w:ascii="仿宋" w:hAnsi="仿宋" w:cs="仿宋"/>
          <w:color w:val="0C0C0C"/>
          <w:kern w:val="0"/>
          <w:szCs w:val="28"/>
          <w:lang w:bidi="ar"/>
        </w:rPr>
        <w:t xml:space="preserve">深入开展退耕还湿、退养（塘）还湿，加强湿地水禽、鱼类栖息地修复。采取生态补水、河湖水系连通、湿地植被恢复、有害生物防控等方式，选择适合当地环境生长、净化力强的植物，合理搭配植物，开展湿地生态系统综合治理。 </w:t>
      </w:r>
    </w:p>
    <w:p w14:paraId="31055FCE">
      <w:pPr>
        <w:widowControl/>
        <w:spacing w:line="420" w:lineRule="auto"/>
        <w:ind w:firstLine="560"/>
        <w:jc w:val="left"/>
        <w:outlineLvl w:val="2"/>
        <w:rPr>
          <w:rFonts w:ascii="仿宋" w:hAnsi="仿宋" w:cs="仿宋"/>
          <w:szCs w:val="28"/>
        </w:rPr>
      </w:pPr>
      <w:r>
        <w:rPr>
          <w:rFonts w:hint="eastAsia" w:ascii="仿宋" w:hAnsi="仿宋" w:cs="仿宋"/>
          <w:b/>
          <w:color w:val="000000"/>
          <w:kern w:val="0"/>
          <w:szCs w:val="28"/>
          <w:lang w:bidi="ar"/>
        </w:rPr>
        <w:t xml:space="preserve">五、提升生物多样性保护能力 </w:t>
      </w:r>
    </w:p>
    <w:p w14:paraId="3797FDF3">
      <w:pPr>
        <w:widowControl/>
        <w:spacing w:line="420" w:lineRule="auto"/>
        <w:ind w:firstLine="560"/>
        <w:jc w:val="left"/>
      </w:pPr>
      <w:r>
        <w:rPr>
          <w:rFonts w:hint="eastAsia" w:ascii="仿宋" w:hAnsi="仿宋" w:cs="仿宋"/>
          <w:b/>
          <w:bCs/>
          <w:color w:val="0C0C0C"/>
          <w:kern w:val="0"/>
          <w:szCs w:val="28"/>
          <w:lang w:bidi="ar"/>
        </w:rPr>
        <w:t>夯实生物多样性保护基础。</w:t>
      </w:r>
      <w:r>
        <w:rPr>
          <w:rFonts w:hint="eastAsia" w:ascii="仿宋" w:hAnsi="仿宋" w:cs="仿宋"/>
          <w:color w:val="0C0C0C"/>
          <w:kern w:val="0"/>
          <w:szCs w:val="28"/>
          <w:lang w:bidi="ar"/>
        </w:rPr>
        <w:t xml:space="preserve">加快建立生物多样性观测站网，开展生物多样性本底调查、编目与现状评估，构建生物多样性数据库，推进生物多样性保护科学化、信息化。加强生物多样性保护与生物安全宣传教育，提高公众意识和参与程度。 </w:t>
      </w:r>
    </w:p>
    <w:p w14:paraId="736E4F50">
      <w:pPr>
        <w:widowControl/>
        <w:spacing w:line="420" w:lineRule="auto"/>
        <w:ind w:firstLine="560"/>
        <w:jc w:val="left"/>
      </w:pPr>
      <w:r>
        <w:rPr>
          <w:rFonts w:hint="eastAsia" w:ascii="仿宋" w:hAnsi="仿宋" w:cs="仿宋"/>
          <w:b/>
          <w:bCs/>
          <w:color w:val="0C0C0C"/>
          <w:kern w:val="0"/>
          <w:szCs w:val="28"/>
          <w:lang w:bidi="ar"/>
        </w:rPr>
        <w:t>完善自然保护地体系。</w:t>
      </w:r>
      <w:r>
        <w:rPr>
          <w:rFonts w:hint="eastAsia" w:ascii="仿宋" w:hAnsi="仿宋" w:cs="仿宋"/>
          <w:color w:val="0C0C0C"/>
          <w:kern w:val="0"/>
          <w:szCs w:val="28"/>
          <w:lang w:bidi="ar"/>
        </w:rPr>
        <w:t xml:space="preserve">全面加强自然保护地监督管理，进一步强化管理队伍建设，完善保护地管理制度，加快完成自然保护地规划修编及勘界立标工作。积极推进各类自然保护地建设项目申报，开展自然保护地示范工程建设。严防各类违法违规开发建设活动，做好突出生态环境问题整改工作。 </w:t>
      </w:r>
    </w:p>
    <w:p w14:paraId="6289EA77">
      <w:pPr>
        <w:widowControl/>
        <w:spacing w:line="420" w:lineRule="auto"/>
        <w:ind w:firstLine="560"/>
        <w:jc w:val="left"/>
        <w:outlineLvl w:val="2"/>
        <w:rPr>
          <w:rFonts w:ascii="仿宋" w:hAnsi="仿宋" w:cs="仿宋"/>
          <w:szCs w:val="28"/>
        </w:rPr>
      </w:pPr>
      <w:r>
        <w:rPr>
          <w:rFonts w:hint="eastAsia" w:ascii="仿宋" w:hAnsi="仿宋" w:cs="仿宋"/>
          <w:b/>
          <w:color w:val="000000"/>
          <w:kern w:val="0"/>
          <w:szCs w:val="28"/>
          <w:lang w:bidi="ar"/>
        </w:rPr>
        <w:t>六、加强生物安全管理</w:t>
      </w:r>
    </w:p>
    <w:p w14:paraId="53211FFF">
      <w:pPr>
        <w:widowControl/>
        <w:spacing w:line="420" w:lineRule="auto"/>
        <w:ind w:firstLine="560"/>
        <w:jc w:val="left"/>
      </w:pPr>
      <w:r>
        <w:rPr>
          <w:rFonts w:hint="eastAsia" w:ascii="仿宋" w:hAnsi="仿宋" w:cs="仿宋"/>
          <w:color w:val="0C0C0C"/>
          <w:kern w:val="0"/>
          <w:szCs w:val="28"/>
          <w:lang w:bidi="ar"/>
        </w:rPr>
        <w:t xml:space="preserve">开展自然生态系统外来入侵物种调查，及时更新外来入侵物种名录，掌握外来入侵物种入侵机理、扩散途径、应对措施和开发利用途径。加强外来物种管控，积极防治外来物种入侵。建立外来入侵物种监测预警及风险管理机制，强化自然保护地等重点区域外来入侵物种防控监督，建立健全生物安全管理和应急处置机制，强化生物安全风险管控。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85" w:type="dxa"/>
        </w:tblCellMar>
      </w:tblPr>
      <w:tblGrid>
        <w:gridCol w:w="8359"/>
      </w:tblGrid>
      <w:tr w14:paraId="6C1D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85" w:type="dxa"/>
          </w:tblCellMar>
        </w:tblPrEx>
        <w:trPr>
          <w:trHeight w:val="471" w:hRule="atLeast"/>
          <w:jc w:val="center"/>
        </w:trPr>
        <w:tc>
          <w:tcPr>
            <w:tcW w:w="8359" w:type="dxa"/>
            <w:vAlign w:val="center"/>
          </w:tcPr>
          <w:p w14:paraId="292F4870">
            <w:pPr>
              <w:pStyle w:val="23"/>
              <w:ind w:firstLine="0" w:firstLineChars="0"/>
              <w:contextualSpacing/>
              <w:jc w:val="center"/>
              <w:rPr>
                <w:rFonts w:eastAsia="仿宋_GB2312"/>
                <w:b/>
                <w:bCs/>
                <w:szCs w:val="28"/>
              </w:rPr>
            </w:pPr>
            <w:r>
              <w:rPr>
                <w:rFonts w:eastAsia="仿宋_GB2312"/>
                <w:b/>
                <w:bCs/>
                <w:sz w:val="24"/>
              </w:rPr>
              <w:t>专栏</w:t>
            </w:r>
            <w:r>
              <w:rPr>
                <w:rFonts w:hint="eastAsia" w:eastAsia="仿宋_GB2312"/>
                <w:b/>
                <w:bCs/>
                <w:sz w:val="24"/>
              </w:rPr>
              <w:t>4</w:t>
            </w:r>
            <w:r>
              <w:rPr>
                <w:rFonts w:eastAsia="仿宋_GB2312"/>
                <w:b/>
                <w:bCs/>
                <w:sz w:val="24"/>
              </w:rPr>
              <w:t xml:space="preserve"> 生态保护与修复重点工程</w:t>
            </w:r>
          </w:p>
        </w:tc>
      </w:tr>
      <w:tr w14:paraId="7D92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85" w:type="dxa"/>
          </w:tblCellMar>
        </w:tblPrEx>
        <w:trPr>
          <w:jc w:val="center"/>
        </w:trPr>
        <w:tc>
          <w:tcPr>
            <w:tcW w:w="8359" w:type="dxa"/>
          </w:tcPr>
          <w:p w14:paraId="20CAB735">
            <w:pPr>
              <w:pStyle w:val="23"/>
              <w:spacing w:before="156" w:beforeLines="50" w:line="360" w:lineRule="auto"/>
              <w:ind w:firstLine="0" w:firstLineChars="0"/>
              <w:contextualSpacing/>
              <w:rPr>
                <w:rFonts w:eastAsia="仿宋_GB2312"/>
                <w:bCs/>
                <w:sz w:val="24"/>
              </w:rPr>
            </w:pPr>
            <w:r>
              <w:rPr>
                <w:rFonts w:hint="eastAsia" w:eastAsia="仿宋_GB2312"/>
                <w:b/>
                <w:bCs/>
                <w:sz w:val="24"/>
              </w:rPr>
              <w:t>（1）</w:t>
            </w:r>
            <w:r>
              <w:rPr>
                <w:rFonts w:eastAsia="仿宋_GB2312"/>
                <w:b/>
                <w:bCs/>
                <w:sz w:val="24"/>
              </w:rPr>
              <w:t>生态系统保护：</w:t>
            </w:r>
            <w:r>
              <w:rPr>
                <w:rFonts w:eastAsia="仿宋_GB2312"/>
                <w:bCs/>
                <w:sz w:val="24"/>
              </w:rPr>
              <w:t>砀山县小神湖人工湿地建设项目</w:t>
            </w:r>
            <w:r>
              <w:rPr>
                <w:rFonts w:eastAsia="仿宋_GB2312"/>
                <w:sz w:val="24"/>
              </w:rPr>
              <w:t>。</w:t>
            </w:r>
          </w:p>
        </w:tc>
      </w:tr>
    </w:tbl>
    <w:p w14:paraId="65B96A7E">
      <w:pPr>
        <w:pStyle w:val="3"/>
        <w:rPr>
          <w:szCs w:val="32"/>
        </w:rPr>
      </w:pPr>
      <w:bookmarkStart w:id="42" w:name="_Toc22142"/>
      <w:r>
        <w:rPr>
          <w:rFonts w:hint="eastAsia"/>
        </w:rPr>
        <w:t>第三节 探索生态文明建设新模式</w:t>
      </w:r>
      <w:bookmarkEnd w:id="42"/>
    </w:p>
    <w:p w14:paraId="4FA393D2">
      <w:pPr>
        <w:widowControl/>
        <w:spacing w:line="420" w:lineRule="auto"/>
        <w:ind w:firstLine="560"/>
        <w:jc w:val="left"/>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一、提升生态文明共建共享水平</w:t>
      </w:r>
    </w:p>
    <w:p w14:paraId="57D879A6">
      <w:pPr>
        <w:pStyle w:val="15"/>
        <w:widowControl/>
        <w:shd w:val="clear" w:color="auto" w:fill="FFFFFF"/>
        <w:spacing w:beforeAutospacing="0" w:afterAutospacing="0" w:line="420" w:lineRule="auto"/>
        <w:ind w:firstLine="560"/>
        <w:jc w:val="both"/>
        <w:outlineLvl w:val="3"/>
        <w:rPr>
          <w:rFonts w:ascii="仿宋" w:hAnsi="仿宋" w:cs="仿宋"/>
          <w:b/>
          <w:bCs/>
          <w:color w:val="000000"/>
          <w:sz w:val="28"/>
          <w:szCs w:val="28"/>
        </w:rPr>
      </w:pPr>
      <w:r>
        <w:rPr>
          <w:rFonts w:hint="eastAsia"/>
          <w:b/>
          <w:bCs/>
          <w:color w:val="000000"/>
          <w:sz w:val="28"/>
          <w:szCs w:val="28"/>
          <w:shd w:val="clear" w:color="auto" w:fill="FFFFFF"/>
        </w:rPr>
        <w:t>（一）</w:t>
      </w:r>
      <w:r>
        <w:rPr>
          <w:rFonts w:hint="eastAsia" w:ascii="仿宋" w:hAnsi="仿宋" w:cs="仿宋"/>
          <w:b/>
          <w:bCs/>
          <w:color w:val="000000"/>
          <w:sz w:val="28"/>
          <w:szCs w:val="28"/>
          <w:shd w:val="clear" w:color="auto" w:fill="FFFFFF"/>
        </w:rPr>
        <w:t>提高公众对生态文明建设的参与度</w:t>
      </w:r>
    </w:p>
    <w:p w14:paraId="660C00E9">
      <w:pPr>
        <w:pStyle w:val="15"/>
        <w:widowControl/>
        <w:shd w:val="clear" w:color="auto" w:fill="FFFFFF"/>
        <w:spacing w:beforeAutospacing="0" w:afterAutospacing="0" w:line="420" w:lineRule="auto"/>
        <w:ind w:firstLine="560"/>
        <w:jc w:val="both"/>
        <w:rPr>
          <w:rFonts w:ascii="仿宋" w:hAnsi="仿宋" w:cs="仿宋"/>
          <w:color w:val="000000"/>
          <w:sz w:val="28"/>
          <w:szCs w:val="28"/>
        </w:rPr>
      </w:pPr>
      <w:r>
        <w:rPr>
          <w:rFonts w:hint="eastAsia" w:ascii="仿宋" w:hAnsi="仿宋" w:cs="仿宋"/>
          <w:b/>
          <w:bCs/>
          <w:color w:val="000000"/>
          <w:sz w:val="28"/>
          <w:szCs w:val="28"/>
          <w:shd w:val="clear" w:color="auto" w:fill="FFFFFF"/>
        </w:rPr>
        <w:t>加强对公众的引导。</w:t>
      </w:r>
      <w:r>
        <w:rPr>
          <w:rFonts w:hint="eastAsia" w:ascii="仿宋" w:hAnsi="仿宋" w:cs="仿宋"/>
          <w:color w:val="000000"/>
          <w:sz w:val="28"/>
          <w:szCs w:val="28"/>
          <w:shd w:val="clear" w:color="auto" w:fill="FFFFFF"/>
        </w:rPr>
        <w:t>在生态文明建设中，针对公众参与意识不强、认同感较低等问题，要加强宣传与教育，增强公众的参与力度，将更多公众的力量引导到生态文明建设上。尤其是在生态文明建设的过程中，在环境、住房、供水、公共卫生等与公众相关的方面听取群众意见，增强生态文明建设的透明度。</w:t>
      </w:r>
    </w:p>
    <w:p w14:paraId="460E8E78">
      <w:pPr>
        <w:pStyle w:val="15"/>
        <w:widowControl/>
        <w:shd w:val="clear" w:color="auto" w:fill="FFFFFF"/>
        <w:spacing w:beforeAutospacing="0" w:afterAutospacing="0" w:line="420" w:lineRule="auto"/>
        <w:ind w:firstLine="560"/>
        <w:jc w:val="both"/>
        <w:rPr>
          <w:rFonts w:ascii="仿宋" w:hAnsi="仿宋" w:cs="仿宋"/>
          <w:color w:val="000000"/>
          <w:sz w:val="28"/>
          <w:szCs w:val="28"/>
        </w:rPr>
      </w:pPr>
      <w:r>
        <w:rPr>
          <w:rFonts w:hint="eastAsia" w:ascii="仿宋" w:hAnsi="仿宋" w:cs="仿宋"/>
          <w:b/>
          <w:bCs/>
          <w:color w:val="000000"/>
          <w:sz w:val="28"/>
          <w:szCs w:val="28"/>
          <w:shd w:val="clear" w:color="auto" w:fill="FFFFFF"/>
        </w:rPr>
        <w:t>强化公众参与主体意识。</w:t>
      </w:r>
      <w:r>
        <w:rPr>
          <w:rFonts w:hint="eastAsia" w:ascii="仿宋" w:hAnsi="仿宋" w:cs="仿宋"/>
          <w:color w:val="000000"/>
          <w:sz w:val="28"/>
          <w:szCs w:val="28"/>
          <w:shd w:val="clear" w:color="auto" w:fill="FFFFFF"/>
        </w:rPr>
        <w:t>针对公众在参与生态文明建设中的主体责任和担当意识不够的问题，要借助媒体宣传、政策导向，强化公众参与主体意识。一方面要提升公众的生态知识与法律水平，树立公众正确的生态文明意识与概念，通过电视、广播、网络、报纸等媒体积极宣传生态</w:t>
      </w:r>
      <w:r>
        <w:rPr>
          <w:rFonts w:hint="eastAsia" w:ascii="仿宋" w:hAnsi="仿宋" w:cs="仿宋"/>
          <w:color w:val="000000"/>
          <w:sz w:val="28"/>
          <w:szCs w:val="28"/>
          <w:shd w:val="clear" w:color="auto" w:fill="FFFFFF"/>
          <w:lang w:eastAsia="zh-CN"/>
        </w:rPr>
        <w:t>文明</w:t>
      </w:r>
      <w:r>
        <w:rPr>
          <w:rFonts w:hint="eastAsia" w:ascii="仿宋" w:hAnsi="仿宋" w:cs="仿宋"/>
          <w:color w:val="000000"/>
          <w:sz w:val="28"/>
          <w:szCs w:val="28"/>
          <w:shd w:val="clear" w:color="auto" w:fill="FFFFFF"/>
        </w:rPr>
        <w:t>建设重要性，明确公众参与的权利与承担义务，增强主人翁意识。另一方面要注重正确引导经济增长、个人利益与环境保护之间的关系，培养公众的全局意识与长远视野。</w:t>
      </w:r>
    </w:p>
    <w:p w14:paraId="32ECC3BE">
      <w:pPr>
        <w:pStyle w:val="15"/>
        <w:widowControl/>
        <w:shd w:val="clear" w:color="auto" w:fill="FFFFFF"/>
        <w:spacing w:beforeAutospacing="0" w:afterAutospacing="0" w:line="420" w:lineRule="auto"/>
        <w:ind w:firstLine="560"/>
        <w:jc w:val="both"/>
        <w:rPr>
          <w:rFonts w:ascii="仿宋" w:hAnsi="仿宋" w:cs="仿宋"/>
          <w:color w:val="000000"/>
          <w:sz w:val="28"/>
          <w:szCs w:val="28"/>
        </w:rPr>
      </w:pPr>
      <w:r>
        <w:rPr>
          <w:rFonts w:hint="eastAsia" w:ascii="仿宋" w:hAnsi="仿宋" w:cs="仿宋"/>
          <w:b/>
          <w:bCs/>
          <w:color w:val="000000"/>
          <w:sz w:val="28"/>
          <w:szCs w:val="28"/>
          <w:shd w:val="clear" w:color="auto" w:fill="FFFFFF"/>
        </w:rPr>
        <w:t>拓宽公众参与渠道。</w:t>
      </w:r>
      <w:r>
        <w:rPr>
          <w:rFonts w:hint="eastAsia" w:ascii="仿宋" w:hAnsi="仿宋" w:cs="仿宋"/>
          <w:color w:val="000000"/>
          <w:sz w:val="28"/>
          <w:szCs w:val="28"/>
          <w:shd w:val="clear" w:color="auto" w:fill="FFFFFF"/>
        </w:rPr>
        <w:t>创新公众参与方式，对于涉及公众利益的方面，可通过论证会、听证会等形式，听取公众诉求以及建议。在新媒体时代，可以通过自媒体、拍摄手机视频等形式开展相关活动，拓展公众参与途径。如对于保护环境的良好现象进行广泛宣传，对破坏环境现象进行现场曝光。</w:t>
      </w:r>
    </w:p>
    <w:p w14:paraId="594BF1DA">
      <w:pPr>
        <w:pStyle w:val="15"/>
        <w:widowControl/>
        <w:shd w:val="clear" w:color="auto" w:fill="FFFFFF"/>
        <w:spacing w:beforeAutospacing="0" w:afterAutospacing="0" w:line="420" w:lineRule="auto"/>
        <w:ind w:firstLine="560"/>
        <w:jc w:val="both"/>
        <w:rPr>
          <w:rFonts w:ascii="仿宋" w:hAnsi="仿宋" w:cs="仿宋"/>
          <w:color w:val="000000"/>
          <w:sz w:val="28"/>
          <w:szCs w:val="28"/>
        </w:rPr>
      </w:pPr>
      <w:r>
        <w:rPr>
          <w:rFonts w:hint="eastAsia" w:ascii="仿宋" w:hAnsi="仿宋" w:cs="仿宋"/>
          <w:b/>
          <w:bCs/>
          <w:color w:val="000000"/>
          <w:sz w:val="28"/>
          <w:szCs w:val="28"/>
          <w:shd w:val="clear" w:color="auto" w:fill="FFFFFF"/>
        </w:rPr>
        <w:t>完善公众参与机制。</w:t>
      </w:r>
      <w:r>
        <w:rPr>
          <w:rFonts w:hint="eastAsia" w:ascii="仿宋" w:hAnsi="仿宋" w:cs="仿宋"/>
          <w:color w:val="000000"/>
          <w:sz w:val="28"/>
          <w:szCs w:val="28"/>
          <w:shd w:val="clear" w:color="auto" w:fill="FFFFFF"/>
        </w:rPr>
        <w:t>一是建立开展公益活动的机制。建设环保志愿者工作机制，调动社区居民参与力度，实现环保理念入户。二是构建生态文明建设宣传机制，比如生态文明论坛、世界环境日宣传、地球</w:t>
      </w:r>
      <w:r>
        <w:rPr>
          <w:color w:val="000000"/>
          <w:sz w:val="28"/>
          <w:szCs w:val="28"/>
          <w:shd w:val="clear" w:color="auto" w:fill="FFFFFF"/>
        </w:rPr>
        <w:t>1</w:t>
      </w:r>
      <w:r>
        <w:rPr>
          <w:rFonts w:hint="eastAsia" w:ascii="仿宋" w:hAnsi="仿宋" w:cs="仿宋"/>
          <w:color w:val="000000"/>
          <w:sz w:val="28"/>
          <w:szCs w:val="28"/>
          <w:shd w:val="clear" w:color="auto" w:fill="FFFFFF"/>
        </w:rPr>
        <w:t>小时、植树、绿色出行等活动，从多个视角培养公众参与生态文明建设的意识；三是建立政府与公众的良好沟通机制，开展公益监督、诉讼机制，畅通公众表达意见的渠道，保障公众参与权益。</w:t>
      </w:r>
    </w:p>
    <w:p w14:paraId="177CFF68">
      <w:pPr>
        <w:pStyle w:val="15"/>
        <w:widowControl/>
        <w:shd w:val="clear" w:color="auto" w:fill="FFFFFF"/>
        <w:spacing w:beforeAutospacing="0" w:afterAutospacing="0" w:line="420" w:lineRule="auto"/>
        <w:ind w:firstLine="560"/>
        <w:jc w:val="both"/>
        <w:outlineLvl w:val="3"/>
        <w:rPr>
          <w:rFonts w:ascii="仿宋" w:hAnsi="仿宋" w:cs="仿宋"/>
          <w:color w:val="000000"/>
          <w:sz w:val="28"/>
          <w:szCs w:val="28"/>
        </w:rPr>
      </w:pPr>
      <w:r>
        <w:rPr>
          <w:rFonts w:hint="eastAsia"/>
          <w:b/>
          <w:bCs/>
          <w:color w:val="000000"/>
          <w:sz w:val="28"/>
          <w:szCs w:val="28"/>
          <w:shd w:val="clear" w:color="auto" w:fill="FFFFFF"/>
        </w:rPr>
        <w:t>（二）</w:t>
      </w:r>
      <w:r>
        <w:rPr>
          <w:rFonts w:hint="eastAsia" w:ascii="仿宋" w:hAnsi="仿宋" w:cs="仿宋"/>
          <w:b/>
          <w:bCs/>
          <w:color w:val="000000"/>
          <w:sz w:val="28"/>
          <w:szCs w:val="28"/>
          <w:shd w:val="clear" w:color="auto" w:fill="FFFFFF"/>
        </w:rPr>
        <w:t>提高公众对生态文明建设的满意度</w:t>
      </w:r>
    </w:p>
    <w:p w14:paraId="15A2BE20">
      <w:pPr>
        <w:widowControl/>
        <w:spacing w:line="420" w:lineRule="auto"/>
        <w:ind w:firstLine="560"/>
        <w:jc w:val="left"/>
        <w:rPr>
          <w:rFonts w:ascii="仿宋" w:hAnsi="仿宋" w:cs="仿宋"/>
          <w:color w:val="0C0C0C"/>
          <w:kern w:val="0"/>
          <w:szCs w:val="28"/>
          <w:lang w:bidi="ar"/>
        </w:rPr>
      </w:pPr>
      <w:r>
        <w:rPr>
          <w:rFonts w:hint="eastAsia" w:ascii="仿宋" w:hAnsi="仿宋" w:cs="仿宋"/>
          <w:color w:val="000000"/>
          <w:szCs w:val="28"/>
          <w:shd w:val="clear" w:color="auto" w:fill="FFFFFF"/>
        </w:rPr>
        <w:t>通过全面开展生态文明建设，提高生态环境质量、创造生态人居、发展生态经济、引导生态文明教育、建设生态文明制度，全面提高公众生活水平，提高全民国家荣誉感、归属感及幸福感。</w:t>
      </w:r>
    </w:p>
    <w:p w14:paraId="299CA015">
      <w:pPr>
        <w:widowControl/>
        <w:spacing w:line="420" w:lineRule="auto"/>
        <w:ind w:firstLine="560"/>
        <w:jc w:val="left"/>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二、扎实推进生态文明示范创建工作</w:t>
      </w:r>
    </w:p>
    <w:p w14:paraId="6BDC2CDD">
      <w:pPr>
        <w:widowControl/>
        <w:spacing w:line="420" w:lineRule="auto"/>
        <w:ind w:firstLine="560"/>
        <w:jc w:val="left"/>
        <w:rPr>
          <w:rFonts w:ascii="仿宋" w:hAnsi="仿宋" w:cs="仿宋"/>
          <w:color w:val="0C0C0C"/>
          <w:kern w:val="0"/>
          <w:szCs w:val="28"/>
          <w:lang w:bidi="ar"/>
        </w:rPr>
      </w:pPr>
      <w:r>
        <w:rPr>
          <w:rFonts w:hint="eastAsia" w:ascii="仿宋" w:hAnsi="仿宋" w:cs="仿宋"/>
          <w:color w:val="0C0C0C"/>
          <w:kern w:val="0"/>
          <w:szCs w:val="28"/>
          <w:lang w:bidi="ar"/>
        </w:rPr>
        <w:t>落实“绿水青山就是金山银山”理念，将生态文明建设示范区和“两山”基地创建作为推进生态文明建设的示范平台和重要抓手。鼓励开展省级生态文明建设示范区和“两山”基地创建工作，加快建立生态文明体系，探索符合砀山县特点的生态文明建设新模式。到</w:t>
      </w:r>
      <w:r>
        <w:rPr>
          <w:color w:val="0C0C0C"/>
          <w:kern w:val="0"/>
          <w:szCs w:val="28"/>
          <w:lang w:bidi="ar"/>
        </w:rPr>
        <w:t>2025</w:t>
      </w:r>
      <w:r>
        <w:rPr>
          <w:rFonts w:hint="eastAsia" w:ascii="仿宋" w:hAnsi="仿宋" w:cs="仿宋"/>
          <w:color w:val="0C0C0C"/>
          <w:kern w:val="0"/>
          <w:szCs w:val="28"/>
          <w:lang w:bidi="ar"/>
        </w:rPr>
        <w:t>年，砀山县达到省级生态文明建设示范县创建标准。</w:t>
      </w:r>
    </w:p>
    <w:p w14:paraId="2E899DF0">
      <w:pPr>
        <w:ind w:firstLine="560"/>
      </w:pPr>
      <w:r>
        <w:rPr>
          <w:rFonts w:hint="eastAsia"/>
        </w:rPr>
        <w:br w:type="page"/>
      </w:r>
    </w:p>
    <w:p w14:paraId="59890D65">
      <w:pPr>
        <w:pStyle w:val="2"/>
        <w:rPr>
          <w:szCs w:val="36"/>
        </w:rPr>
      </w:pPr>
      <w:bookmarkStart w:id="43" w:name="_Toc14393"/>
      <w:r>
        <w:rPr>
          <w:rFonts w:hint="eastAsia"/>
        </w:rPr>
        <w:t>第六章 建立健全风险防控体系，有效保障生态安全</w:t>
      </w:r>
      <w:bookmarkEnd w:id="43"/>
    </w:p>
    <w:p w14:paraId="4E7402AF">
      <w:pPr>
        <w:pStyle w:val="3"/>
      </w:pPr>
      <w:bookmarkStart w:id="44" w:name="_Toc13520"/>
      <w:r>
        <w:rPr>
          <w:rFonts w:hint="eastAsia"/>
        </w:rPr>
        <w:t>第一节 建立健全环境风险防控和应急响应机制</w:t>
      </w:r>
      <w:bookmarkEnd w:id="44"/>
    </w:p>
    <w:p w14:paraId="59292797">
      <w:pPr>
        <w:widowControl/>
        <w:spacing w:line="420" w:lineRule="auto"/>
        <w:ind w:firstLine="560"/>
        <w:outlineLvl w:val="2"/>
        <w:rPr>
          <w:rFonts w:ascii="仿宋" w:hAnsi="仿宋" w:cs="仿宋"/>
          <w:szCs w:val="28"/>
        </w:rPr>
      </w:pPr>
      <w:r>
        <w:rPr>
          <w:rFonts w:hint="eastAsia" w:ascii="仿宋" w:hAnsi="仿宋" w:cs="仿宋"/>
          <w:b/>
          <w:bCs/>
          <w:color w:val="000000"/>
          <w:kern w:val="0"/>
          <w:szCs w:val="28"/>
          <w:lang w:bidi="ar"/>
        </w:rPr>
        <w:t xml:space="preserve">一、加强环境风险防控与监测预警 </w:t>
      </w:r>
    </w:p>
    <w:p w14:paraId="46D851BA">
      <w:pPr>
        <w:widowControl/>
        <w:spacing w:line="420" w:lineRule="auto"/>
        <w:ind w:firstLine="560"/>
      </w:pPr>
      <w:r>
        <w:rPr>
          <w:rFonts w:hint="eastAsia" w:ascii="仿宋" w:hAnsi="仿宋" w:cs="仿宋"/>
          <w:color w:val="0C0C0C"/>
          <w:kern w:val="0"/>
          <w:szCs w:val="28"/>
          <w:lang w:bidi="ar"/>
        </w:rPr>
        <w:t xml:space="preserve">强化环境风险源头管控，监督企业落实主体责任，开展环境风险隐患自查，持续引导涉重金属企业合理选址、集中生产、集中治污，推进重金属废水、废气深度处理。加强涉危涉重企业、化工园区、集中式饮用水水源地及重点区域和流域环境风险评估，实施分类分级风险管控，协同推进重点区域和流域生态环境污染综合防治、风险防控与生态恢复。加强区域开发和项目建设的环境风险评价，强化企业环境风险预警体系建设，探索建立突发环境事件网络监控平台。 </w:t>
      </w:r>
    </w:p>
    <w:p w14:paraId="0572AC76">
      <w:pPr>
        <w:widowControl/>
        <w:spacing w:line="420" w:lineRule="auto"/>
        <w:ind w:firstLine="560"/>
        <w:outlineLvl w:val="2"/>
        <w:rPr>
          <w:rFonts w:ascii="仿宋" w:hAnsi="仿宋" w:cs="仿宋"/>
          <w:szCs w:val="28"/>
        </w:rPr>
      </w:pPr>
      <w:r>
        <w:rPr>
          <w:rFonts w:hint="eastAsia" w:ascii="仿宋" w:hAnsi="仿宋" w:cs="仿宋"/>
          <w:b/>
          <w:bCs/>
          <w:color w:val="000000"/>
          <w:kern w:val="0"/>
          <w:szCs w:val="28"/>
          <w:lang w:bidi="ar"/>
        </w:rPr>
        <w:t xml:space="preserve">二、建立突发环境事件应急响应机制 </w:t>
      </w:r>
    </w:p>
    <w:p w14:paraId="402D5729">
      <w:pPr>
        <w:widowControl/>
        <w:spacing w:line="420" w:lineRule="auto"/>
        <w:ind w:firstLine="560"/>
        <w:rPr>
          <w:rFonts w:hint="eastAsia" w:ascii="仿宋" w:hAnsi="仿宋" w:cs="仿宋"/>
          <w:color w:val="0C0C0C"/>
          <w:kern w:val="0"/>
          <w:szCs w:val="28"/>
          <w:lang w:bidi="ar"/>
        </w:rPr>
      </w:pPr>
      <w:r>
        <w:rPr>
          <w:rFonts w:hint="eastAsia" w:ascii="仿宋" w:hAnsi="仿宋" w:cs="仿宋"/>
          <w:color w:val="0C0C0C"/>
          <w:kern w:val="0"/>
          <w:szCs w:val="28"/>
          <w:lang w:bidi="ar"/>
        </w:rPr>
        <w:t xml:space="preserve">建立跨部门、跨区域、跨流域突发环境事件应急响应机制，强化区域联动，协同打击跨区域违法行为。加强公安、消防、水利、交通运输、应急管理、生态环境等部门的应急联动，提高突发环境事件中信息互通、资源共享和协同处置能力。强化环境应急监测装备配置、物资储备和队伍建设，推进突发环境事件应急响应规范化建设。定期组织开展环境应急演练，提高突发环境事件应急处置能力。探索实施企业环境应急预案电子化备案，监督企业严格落实主体责任。 </w:t>
      </w:r>
    </w:p>
    <w:p w14:paraId="143DB761">
      <w:pPr>
        <w:bidi w:val="0"/>
        <w:rPr>
          <w:rFonts w:hint="eastAsia"/>
        </w:rPr>
      </w:pPr>
    </w:p>
    <w:p w14:paraId="59544F01">
      <w:pPr>
        <w:bidi w:val="0"/>
        <w:rPr>
          <w:rFonts w:hint="eastAsia"/>
        </w:rPr>
      </w:pPr>
    </w:p>
    <w:p w14:paraId="481E421E">
      <w:pPr>
        <w:pStyle w:val="3"/>
      </w:pPr>
      <w:bookmarkStart w:id="45" w:name="_Toc15778"/>
      <w:r>
        <w:rPr>
          <w:rFonts w:hint="eastAsia"/>
        </w:rPr>
        <w:t>第二节 加强固体废物和重金属污染防治</w:t>
      </w:r>
      <w:bookmarkEnd w:id="45"/>
    </w:p>
    <w:p w14:paraId="38E70724">
      <w:pPr>
        <w:widowControl/>
        <w:spacing w:line="420" w:lineRule="auto"/>
        <w:ind w:firstLine="560"/>
        <w:outlineLvl w:val="2"/>
        <w:rPr>
          <w:rFonts w:ascii="仿宋" w:hAnsi="仿宋" w:cs="仿宋"/>
          <w:szCs w:val="28"/>
        </w:rPr>
      </w:pPr>
      <w:r>
        <w:rPr>
          <w:rFonts w:hint="eastAsia" w:ascii="仿宋" w:hAnsi="仿宋" w:cs="仿宋"/>
          <w:b/>
          <w:bCs/>
          <w:color w:val="000000"/>
          <w:kern w:val="0"/>
          <w:szCs w:val="28"/>
          <w:lang w:bidi="ar"/>
        </w:rPr>
        <w:t xml:space="preserve">一、推进生活垃圾收集处理 </w:t>
      </w:r>
    </w:p>
    <w:p w14:paraId="3DC0CC9D">
      <w:pPr>
        <w:widowControl/>
        <w:spacing w:line="420" w:lineRule="auto"/>
        <w:ind w:firstLine="560"/>
      </w:pPr>
      <w:r>
        <w:rPr>
          <w:rFonts w:hint="eastAsia" w:ascii="仿宋" w:hAnsi="仿宋" w:cs="仿宋"/>
          <w:color w:val="000000"/>
          <w:kern w:val="0"/>
          <w:szCs w:val="28"/>
          <w:lang w:bidi="ar"/>
        </w:rPr>
        <w:t xml:space="preserve">系统推行生活垃圾分类制度，推动城镇生活垃圾分类投放、分类收集、分类运输，分类处理，提升城市生活垃圾焚烧处理和厨余垃圾处理能力。推进生活垃圾无害化处理设施建设，加强卫生填埋场运营监管。加快实现再生资源回收利用体系与生活垃圾清运体系有效衔接，制定垃圾强制分类和减量化相关制度，减少外卖、快递领域固废产生，切实解决“垃圾围城、垃圾围村”问题。推进生活垃圾填埋场建设，开展既有焚烧处理设施提标改造，加强统筹焚烧飞灰处置设施建设。 </w:t>
      </w:r>
    </w:p>
    <w:p w14:paraId="62F9F5EF">
      <w:pPr>
        <w:widowControl/>
        <w:spacing w:line="420" w:lineRule="auto"/>
        <w:ind w:firstLine="560"/>
        <w:outlineLvl w:val="2"/>
        <w:rPr>
          <w:rFonts w:ascii="仿宋" w:hAnsi="仿宋" w:cs="仿宋"/>
          <w:szCs w:val="28"/>
        </w:rPr>
      </w:pPr>
      <w:r>
        <w:rPr>
          <w:rFonts w:hint="eastAsia" w:ascii="仿宋" w:hAnsi="仿宋" w:cs="仿宋"/>
          <w:b/>
          <w:bCs/>
          <w:color w:val="000000"/>
          <w:kern w:val="0"/>
          <w:szCs w:val="28"/>
          <w:lang w:bidi="ar"/>
        </w:rPr>
        <w:t xml:space="preserve">二、严格实施固体废物管控 </w:t>
      </w:r>
    </w:p>
    <w:p w14:paraId="4D501E9A">
      <w:pPr>
        <w:widowControl/>
        <w:spacing w:line="420" w:lineRule="auto"/>
        <w:ind w:firstLine="560"/>
      </w:pPr>
      <w:r>
        <w:rPr>
          <w:rFonts w:hint="eastAsia" w:ascii="仿宋" w:hAnsi="仿宋" w:cs="仿宋"/>
          <w:color w:val="0C0C0C"/>
          <w:kern w:val="0"/>
          <w:szCs w:val="28"/>
          <w:lang w:bidi="ar"/>
        </w:rPr>
        <w:t xml:space="preserve">加强固体废物产生量大、危害性大及难以利用处置的项目准入审核，从严实施环境影响评价。监督固体废物产生单位和利用、处置单位建立规范环境管理制度和管理台账，严格落实固体废物污染防治责任。加强固体废物产生、利用和处置单位日常执法监管，开展固体废物排查整治行动，督促落实固体废物源头控制措施。实施固体废物非法贮存、倾倒和填埋情况专项排查，严厉打击违法违规行为。 </w:t>
      </w:r>
    </w:p>
    <w:p w14:paraId="3C03829B">
      <w:pPr>
        <w:widowControl/>
        <w:spacing w:line="420" w:lineRule="auto"/>
        <w:ind w:firstLine="560"/>
        <w:outlineLvl w:val="2"/>
      </w:pPr>
      <w:r>
        <w:rPr>
          <w:rFonts w:hint="eastAsia" w:ascii="仿宋" w:hAnsi="仿宋" w:cs="仿宋"/>
          <w:b/>
          <w:bCs/>
          <w:color w:val="000000"/>
          <w:kern w:val="0"/>
          <w:szCs w:val="28"/>
          <w:lang w:bidi="ar"/>
        </w:rPr>
        <w:t>三、强化重金属污染防治</w:t>
      </w:r>
      <w:r>
        <w:rPr>
          <w:rFonts w:hint="eastAsia" w:ascii="仿宋" w:hAnsi="仿宋" w:cs="仿宋"/>
          <w:b/>
          <w:bCs/>
          <w:color w:val="000000"/>
          <w:kern w:val="0"/>
          <w:sz w:val="30"/>
          <w:szCs w:val="30"/>
          <w:lang w:bidi="ar"/>
        </w:rPr>
        <w:t xml:space="preserve"> </w:t>
      </w:r>
    </w:p>
    <w:p w14:paraId="06CBC699">
      <w:pPr>
        <w:widowControl/>
        <w:spacing w:line="420" w:lineRule="auto"/>
        <w:ind w:firstLine="560"/>
      </w:pPr>
      <w:r>
        <w:rPr>
          <w:rFonts w:hint="eastAsia" w:ascii="仿宋" w:hAnsi="仿宋" w:cs="仿宋"/>
          <w:color w:val="0C0C0C"/>
          <w:kern w:val="0"/>
          <w:szCs w:val="28"/>
          <w:lang w:bidi="ar"/>
        </w:rPr>
        <w:t xml:space="preserve">完善全口径涉重金属重点行业企业清单，实行动态管理，及时纳入新、改、扩建涉重金属重点行业生产项目。严格环境准入，新、改、扩建涉重金属行业建设项目实行“等量替代”或“减量替代”。以结构调整、升级改造和深度治理为主要手段，推动实施重金属减排工程，持续减少重金属污染物排放。制定重点防控行业重金属综合整治方案，加强重金属污染物排放强度管理，完善重金属产排污强度综合评价体系。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60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vAlign w:val="center"/>
          </w:tcPr>
          <w:p w14:paraId="4338F343">
            <w:pPr>
              <w:pStyle w:val="23"/>
              <w:ind w:firstLine="0" w:firstLineChars="0"/>
              <w:contextualSpacing/>
              <w:jc w:val="center"/>
              <w:rPr>
                <w:rFonts w:eastAsia="仿宋_GB2312"/>
                <w:b/>
                <w:bCs/>
                <w:szCs w:val="28"/>
              </w:rPr>
            </w:pPr>
            <w:r>
              <w:rPr>
                <w:rFonts w:eastAsia="仿宋_GB2312"/>
                <w:b/>
                <w:bCs/>
                <w:sz w:val="24"/>
              </w:rPr>
              <w:t>专栏5  固体废物治理重点工程</w:t>
            </w:r>
          </w:p>
        </w:tc>
      </w:tr>
      <w:tr w14:paraId="6995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0E65EF0">
            <w:pPr>
              <w:pStyle w:val="23"/>
              <w:spacing w:line="360" w:lineRule="auto"/>
              <w:ind w:firstLine="0" w:firstLineChars="0"/>
              <w:contextualSpacing/>
              <w:rPr>
                <w:rFonts w:eastAsia="仿宋_GB2312"/>
                <w:sz w:val="24"/>
              </w:rPr>
            </w:pPr>
            <w:r>
              <w:rPr>
                <w:rFonts w:hint="eastAsia" w:eastAsia="仿宋_GB2312"/>
                <w:b/>
                <w:bCs/>
                <w:sz w:val="24"/>
              </w:rPr>
              <w:t>（1）</w:t>
            </w:r>
            <w:r>
              <w:rPr>
                <w:rFonts w:eastAsia="仿宋_GB2312"/>
                <w:b/>
                <w:bCs/>
                <w:sz w:val="24"/>
              </w:rPr>
              <w:t>一般固废处置：</w:t>
            </w:r>
            <w:r>
              <w:rPr>
                <w:rFonts w:hint="eastAsia" w:eastAsia="仿宋_GB2312"/>
                <w:sz w:val="24"/>
              </w:rPr>
              <w:t>砀山县城乡生活垃圾分类项目</w:t>
            </w:r>
            <w:r>
              <w:rPr>
                <w:rFonts w:eastAsia="仿宋_GB2312"/>
                <w:sz w:val="24"/>
              </w:rPr>
              <w:t>。</w:t>
            </w:r>
          </w:p>
        </w:tc>
      </w:tr>
    </w:tbl>
    <w:p w14:paraId="5A933923">
      <w:pPr>
        <w:pStyle w:val="3"/>
      </w:pPr>
      <w:bookmarkStart w:id="46" w:name="_Toc15256"/>
      <w:r>
        <w:rPr>
          <w:rFonts w:hint="eastAsia"/>
        </w:rPr>
        <w:t>第三节 严控危险、医疗废物和化学品环境风险</w:t>
      </w:r>
      <w:bookmarkEnd w:id="46"/>
    </w:p>
    <w:p w14:paraId="7F092C5C">
      <w:pPr>
        <w:widowControl/>
        <w:spacing w:line="420" w:lineRule="auto"/>
        <w:ind w:firstLine="560"/>
        <w:outlineLvl w:val="2"/>
      </w:pPr>
      <w:r>
        <w:rPr>
          <w:rFonts w:hint="eastAsia" w:ascii="仿宋" w:hAnsi="仿宋" w:cs="仿宋"/>
          <w:b/>
          <w:bCs/>
          <w:color w:val="000000"/>
          <w:kern w:val="0"/>
          <w:szCs w:val="28"/>
          <w:lang w:bidi="ar"/>
        </w:rPr>
        <w:t>一、提升危险废物环境风险防范能力</w:t>
      </w:r>
      <w:r>
        <w:rPr>
          <w:rFonts w:hint="eastAsia" w:ascii="仿宋" w:hAnsi="仿宋" w:cs="仿宋"/>
          <w:b/>
          <w:bCs/>
          <w:color w:val="000000"/>
          <w:kern w:val="0"/>
          <w:sz w:val="30"/>
          <w:szCs w:val="30"/>
          <w:lang w:bidi="ar"/>
        </w:rPr>
        <w:t xml:space="preserve"> </w:t>
      </w:r>
    </w:p>
    <w:p w14:paraId="046ABA0A">
      <w:pPr>
        <w:widowControl/>
        <w:spacing w:line="420" w:lineRule="auto"/>
        <w:ind w:firstLine="560"/>
      </w:pPr>
      <w:r>
        <w:rPr>
          <w:rFonts w:hint="eastAsia" w:ascii="仿宋" w:hAnsi="仿宋" w:cs="仿宋"/>
          <w:color w:val="0C0C0C"/>
          <w:kern w:val="0"/>
          <w:szCs w:val="28"/>
          <w:lang w:bidi="ar"/>
        </w:rPr>
        <w:t xml:space="preserve">建立区域和部门联防联控联治机制，加强危险废物环境监督管理，强化与发展改革、卫生健康、交通运输等相关主管部门建立合作机制。强化化工园区环境风险防控，深入排查化工园区环境风险隐患，督促落实化工园区环境保护主体责任和“一园一策”危险废物利用处置要求。提升危险废物环境应急响应能力，加强突发环境事件及其处理过程中产生的危险废物应急处置的管理队伍、专家队伍建设，将危险废物利用处置龙头企业纳入突发环境事件应急处置工作体系。统筹规划危险废物处置中心，加强无害化处置。严厉打击危险废物非法跨界转移、倾倒等违法犯罪行为。 </w:t>
      </w:r>
    </w:p>
    <w:p w14:paraId="0A5A6D2D">
      <w:pPr>
        <w:widowControl/>
        <w:spacing w:line="420" w:lineRule="auto"/>
        <w:ind w:firstLine="560"/>
        <w:outlineLvl w:val="2"/>
      </w:pPr>
      <w:r>
        <w:rPr>
          <w:rFonts w:hint="eastAsia" w:ascii="仿宋" w:hAnsi="仿宋" w:cs="仿宋"/>
          <w:b/>
          <w:bCs/>
          <w:color w:val="000000"/>
          <w:kern w:val="0"/>
          <w:szCs w:val="28"/>
          <w:lang w:bidi="ar"/>
        </w:rPr>
        <w:t>二、加强医疗废物收集处理</w:t>
      </w:r>
      <w:r>
        <w:rPr>
          <w:rFonts w:hint="eastAsia" w:ascii="仿宋" w:hAnsi="仿宋" w:cs="仿宋"/>
          <w:b/>
          <w:bCs/>
          <w:color w:val="000000"/>
          <w:kern w:val="0"/>
          <w:sz w:val="30"/>
          <w:szCs w:val="30"/>
          <w:lang w:bidi="ar"/>
        </w:rPr>
        <w:t xml:space="preserve"> </w:t>
      </w:r>
    </w:p>
    <w:p w14:paraId="581D9C68">
      <w:pPr>
        <w:widowControl/>
        <w:spacing w:line="420" w:lineRule="auto"/>
        <w:ind w:firstLine="560"/>
      </w:pPr>
      <w:r>
        <w:rPr>
          <w:rFonts w:hint="eastAsia" w:ascii="仿宋" w:hAnsi="仿宋" w:cs="仿宋"/>
          <w:color w:val="0C0C0C"/>
          <w:kern w:val="0"/>
          <w:szCs w:val="28"/>
          <w:lang w:bidi="ar"/>
        </w:rPr>
        <w:t xml:space="preserve">健全医疗废物收集转运处置体系，实施医疗废物处置工程，对难以稳定运行的医疗废物处置设施实施升级改造，保障医疗废物处置设施稳定运行，切实提高医疗废物收集、转运及处置能力。统筹新建、在建和现有危险废物焚烧设施，协同处置固体废物的水泥窑、生活垃圾焚烧设施以及其他协同处置设施等资源，建立医疗废物协同应急处置设施清单，完善处置物资储备体系，保障重大疫情医疗废物应急处置能力。加快实现县级以上医疗废物全收集、全处理，并逐步覆盖到建制镇。 </w:t>
      </w:r>
    </w:p>
    <w:p w14:paraId="497C15F1">
      <w:pPr>
        <w:widowControl/>
        <w:spacing w:line="420" w:lineRule="auto"/>
        <w:ind w:firstLine="560"/>
        <w:outlineLvl w:val="2"/>
      </w:pPr>
      <w:r>
        <w:rPr>
          <w:rFonts w:hint="eastAsia" w:ascii="仿宋" w:hAnsi="仿宋" w:cs="仿宋"/>
          <w:b/>
          <w:bCs/>
          <w:color w:val="000000"/>
          <w:kern w:val="0"/>
          <w:szCs w:val="28"/>
          <w:lang w:bidi="ar"/>
        </w:rPr>
        <w:t>三、强化危险化学品监管</w:t>
      </w:r>
      <w:r>
        <w:rPr>
          <w:rFonts w:hint="eastAsia" w:ascii="仿宋" w:hAnsi="仿宋" w:cs="仿宋"/>
          <w:b/>
          <w:bCs/>
          <w:color w:val="000000"/>
          <w:kern w:val="0"/>
          <w:sz w:val="30"/>
          <w:szCs w:val="30"/>
          <w:lang w:bidi="ar"/>
        </w:rPr>
        <w:t xml:space="preserve"> </w:t>
      </w:r>
    </w:p>
    <w:p w14:paraId="6A75B8BA">
      <w:pPr>
        <w:widowControl/>
        <w:spacing w:line="420" w:lineRule="auto"/>
        <w:ind w:firstLine="560"/>
      </w:pPr>
      <w:r>
        <w:rPr>
          <w:rFonts w:ascii="仿宋" w:hAnsi="仿宋"/>
          <w:color w:val="000000"/>
        </w:rPr>
        <w:t>推进重点防控行业、重点防控区域构成重大危险源的有毒有害危险化学品安全专项排查治理，深入整治问题隐患，严防重点区域突发环境事件</w:t>
      </w:r>
      <w:r>
        <w:rPr>
          <w:rFonts w:hint="eastAsia" w:ascii="仿宋" w:hAnsi="仿宋" w:cs="仿宋"/>
          <w:color w:val="0C0C0C"/>
          <w:kern w:val="0"/>
          <w:szCs w:val="28"/>
          <w:lang w:bidi="ar"/>
        </w:rPr>
        <w:t>，重点整治化工企业、危险化学品单位等可能存在违规堆放、随意倾倒、私自填埋危险废物等问题。</w:t>
      </w:r>
      <w:r>
        <w:rPr>
          <w:rFonts w:ascii="仿宋" w:hAnsi="仿宋"/>
          <w:color w:val="000000"/>
        </w:rPr>
        <w:t>优化涉危险化学品企业布局，对危险化学品生产装置或者储存数量构成重大危险源的危险化学品储存设施，严格执行与居民区安全距离等有关规定合理布局，淘汰落后生产储存设施，推动违规危险化学品企业搬迁。规范危险化学品企业安全生产，建立健全</w:t>
      </w:r>
      <w:r>
        <w:rPr>
          <w:rFonts w:hint="eastAsia" w:ascii="仿宋" w:hAnsi="仿宋"/>
          <w:color w:val="000000"/>
        </w:rPr>
        <w:t>县内</w:t>
      </w:r>
      <w:r>
        <w:rPr>
          <w:rFonts w:ascii="仿宋" w:hAnsi="仿宋"/>
          <w:color w:val="000000"/>
        </w:rPr>
        <w:t>各化学品生产储存企业有毒有害、危险化学品管理清单，强化企业全生命周期管理，严格常态化监管执法。</w:t>
      </w:r>
      <w:r>
        <w:rPr>
          <w:rFonts w:hint="eastAsia" w:ascii="仿宋" w:hAnsi="仿宋" w:cs="仿宋"/>
          <w:color w:val="0C0C0C"/>
          <w:kern w:val="0"/>
          <w:szCs w:val="28"/>
          <w:lang w:bidi="ar"/>
        </w:rPr>
        <w:t xml:space="preserve">建立部门联动、区域协作、重大案件会商督办制度，形成覆盖危险废物产生、收集、贮存、转移、运输、利用、处置等全过程的监管体系，加大打击故意隐瞒、偷放偷排或违法违规处置危险化学品违法犯罪行为力度。 </w:t>
      </w:r>
    </w:p>
    <w:p w14:paraId="43017EF9">
      <w:pPr>
        <w:pStyle w:val="3"/>
      </w:pPr>
      <w:bookmarkStart w:id="47" w:name="_Toc31720"/>
      <w:r>
        <w:rPr>
          <w:rFonts w:hint="eastAsia"/>
        </w:rPr>
        <w:t>第四节 加强核与辐射安全管理</w:t>
      </w:r>
      <w:bookmarkEnd w:id="47"/>
    </w:p>
    <w:p w14:paraId="51F5A20F">
      <w:pPr>
        <w:widowControl/>
        <w:spacing w:line="420" w:lineRule="auto"/>
        <w:ind w:firstLine="560"/>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一、健全核与辐射安全管理体系</w:t>
      </w:r>
    </w:p>
    <w:p w14:paraId="55A996AF">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健全由生态环境主管部门牵头，其他行政主管部门参与的核与辐射安全协调机制，理清各部门核与辐射安全监管的职责边界。严格电离与电磁辐射项目审批，加强工业、医学核技术应用、广电通讯、输变电等项目对环境的污染和危害管理；严格执行生态环境部关于</w:t>
      </w:r>
      <w:r>
        <w:rPr>
          <w:color w:val="0C0C0C"/>
          <w:kern w:val="0"/>
          <w:szCs w:val="28"/>
          <w:lang w:bidi="ar"/>
        </w:rPr>
        <w:t>γ</w:t>
      </w:r>
      <w:r>
        <w:rPr>
          <w:rFonts w:hint="eastAsia" w:ascii="仿宋" w:hAnsi="仿宋" w:cs="仿宋"/>
          <w:color w:val="0C0C0C"/>
          <w:kern w:val="0"/>
          <w:szCs w:val="28"/>
          <w:lang w:bidi="ar"/>
        </w:rPr>
        <w:t>射线移动探伤安全管理规定，开展在线实时监控，实现移动源管理全覆盖。强化放射性物质生产、运输、储存、使用、退役等环节的安全监管，进一步完善废源回收工作。建立与周边其他区域的辐射事故应急处置资源的协调、共享机制。</w:t>
      </w:r>
    </w:p>
    <w:p w14:paraId="218C2359">
      <w:pPr>
        <w:widowControl/>
        <w:spacing w:line="420" w:lineRule="auto"/>
        <w:ind w:left="560" w:leftChars="200" w:firstLine="0" w:firstLineChars="0"/>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二、加强核与辐射监测执法基础能力</w:t>
      </w:r>
    </w:p>
    <w:p w14:paraId="60A78658">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以辐射环境监测机构垂直管理改革为契机，加强人员培训，进一步提升辐射安全监管、监测队伍能力。提高辐射环境监测网点的覆盖率，提升辐射监测自动化水平，完善我县辐射环境监测网络，逐步提升辐射监测与应急能力。同时要建立健全辐射安全监管信息化体系，充分利用安徽省辐射安全监管综合信息平台，实现辐射源全寿期数字化安全监管。</w:t>
      </w:r>
    </w:p>
    <w:p w14:paraId="0D59F18C">
      <w:pPr>
        <w:pStyle w:val="9"/>
        <w:ind w:left="560" w:firstLine="560"/>
        <w:rPr>
          <w:rFonts w:ascii="仿宋" w:hAnsi="仿宋" w:cs="仿宋"/>
          <w:color w:val="0C0C0C"/>
          <w:kern w:val="0"/>
          <w:szCs w:val="28"/>
          <w:lang w:bidi="ar"/>
        </w:rPr>
      </w:pPr>
    </w:p>
    <w:p w14:paraId="1AEE76D9">
      <w:pPr>
        <w:pStyle w:val="9"/>
        <w:ind w:left="560" w:firstLine="560"/>
        <w:rPr>
          <w:rFonts w:ascii="仿宋" w:hAnsi="仿宋" w:cs="仿宋"/>
          <w:color w:val="0C0C0C"/>
          <w:kern w:val="0"/>
          <w:szCs w:val="28"/>
          <w:lang w:bidi="ar"/>
        </w:rPr>
      </w:pPr>
    </w:p>
    <w:p w14:paraId="7D0D8E14">
      <w:pPr>
        <w:pStyle w:val="9"/>
        <w:ind w:left="560" w:firstLine="560"/>
        <w:rPr>
          <w:rFonts w:ascii="仿宋" w:hAnsi="仿宋" w:cs="仿宋"/>
          <w:color w:val="0C0C0C"/>
          <w:kern w:val="0"/>
          <w:szCs w:val="28"/>
          <w:lang w:bidi="ar"/>
        </w:rPr>
      </w:pPr>
    </w:p>
    <w:p w14:paraId="4E7CDF67">
      <w:pPr>
        <w:pStyle w:val="9"/>
        <w:ind w:left="560" w:firstLine="560"/>
        <w:rPr>
          <w:rFonts w:ascii="仿宋" w:hAnsi="仿宋" w:cs="仿宋"/>
          <w:color w:val="0C0C0C"/>
          <w:kern w:val="0"/>
          <w:szCs w:val="28"/>
          <w:lang w:bidi="ar"/>
        </w:rPr>
      </w:pPr>
    </w:p>
    <w:p w14:paraId="6E8611E9">
      <w:pPr>
        <w:pStyle w:val="9"/>
        <w:ind w:left="560" w:firstLine="560"/>
        <w:rPr>
          <w:rFonts w:ascii="仿宋" w:hAnsi="仿宋" w:cs="仿宋"/>
          <w:color w:val="0C0C0C"/>
          <w:kern w:val="0"/>
          <w:szCs w:val="28"/>
          <w:lang w:bidi="ar"/>
        </w:rPr>
      </w:pPr>
    </w:p>
    <w:p w14:paraId="41051ED0">
      <w:pPr>
        <w:pStyle w:val="9"/>
        <w:ind w:left="560" w:firstLine="560"/>
        <w:rPr>
          <w:rFonts w:ascii="仿宋" w:hAnsi="仿宋" w:cs="仿宋"/>
          <w:color w:val="0C0C0C"/>
          <w:kern w:val="0"/>
          <w:szCs w:val="28"/>
          <w:lang w:bidi="ar"/>
        </w:rPr>
      </w:pPr>
    </w:p>
    <w:p w14:paraId="1ED32420">
      <w:pPr>
        <w:pStyle w:val="9"/>
        <w:ind w:left="560" w:firstLine="560"/>
        <w:rPr>
          <w:rFonts w:ascii="仿宋" w:hAnsi="仿宋" w:cs="仿宋"/>
          <w:color w:val="0C0C0C"/>
          <w:kern w:val="0"/>
          <w:szCs w:val="28"/>
          <w:lang w:bidi="ar"/>
        </w:rPr>
      </w:pPr>
    </w:p>
    <w:p w14:paraId="3FFF5543">
      <w:pPr>
        <w:pStyle w:val="9"/>
        <w:ind w:left="560" w:firstLine="560"/>
        <w:rPr>
          <w:rFonts w:ascii="仿宋" w:hAnsi="仿宋" w:cs="仿宋"/>
          <w:color w:val="0C0C0C"/>
          <w:kern w:val="0"/>
          <w:szCs w:val="28"/>
          <w:lang w:bidi="ar"/>
        </w:rPr>
      </w:pPr>
    </w:p>
    <w:p w14:paraId="2207F188">
      <w:pPr>
        <w:pStyle w:val="2"/>
        <w:rPr>
          <w:szCs w:val="36"/>
        </w:rPr>
      </w:pPr>
      <w:bookmarkStart w:id="48" w:name="_Toc16913"/>
      <w:r>
        <w:rPr>
          <w:rFonts w:hint="eastAsia"/>
        </w:rPr>
        <w:t>第七章 深化改革创新，构建现代环境治理体系</w:t>
      </w:r>
      <w:bookmarkEnd w:id="48"/>
    </w:p>
    <w:p w14:paraId="2C6BBE4A">
      <w:pPr>
        <w:ind w:firstLine="560"/>
      </w:pPr>
      <w:r>
        <w:rPr>
          <w:rFonts w:hint="eastAsia"/>
        </w:rPr>
        <w:t>着力构建党委领导、政府主导、企业主体、社会组织和公众共同参与的现代环境治理机制，到</w:t>
      </w:r>
      <w:r>
        <w:t>2025</w:t>
      </w:r>
      <w:r>
        <w:rPr>
          <w:rFonts w:hint="eastAsia"/>
        </w:rPr>
        <w:t>年，全县环境治理各类主体责任全面落实，市场主体和公众参与积极性全面提升，导向清晰、决策科学、执行有力、激励有效、多元参与、良性互动的环境治理体系全面形成。</w:t>
      </w:r>
    </w:p>
    <w:p w14:paraId="271132BA">
      <w:pPr>
        <w:pStyle w:val="3"/>
      </w:pPr>
      <w:bookmarkStart w:id="49" w:name="_Toc31030"/>
      <w:bookmarkStart w:id="50" w:name="_Toc1379"/>
      <w:r>
        <w:rPr>
          <w:rFonts w:hint="eastAsia"/>
        </w:rPr>
        <w:t>第一节 构建多元共治现代治理模式</w:t>
      </w:r>
      <w:bookmarkEnd w:id="49"/>
      <w:bookmarkEnd w:id="50"/>
    </w:p>
    <w:p w14:paraId="59F4E0D9">
      <w:pPr>
        <w:pStyle w:val="4"/>
        <w:spacing w:before="0" w:after="0"/>
        <w:ind w:firstLine="560"/>
        <w:rPr>
          <w:rFonts w:ascii="仿宋" w:hAnsi="仿宋" w:cs="仿宋"/>
          <w:color w:val="000000"/>
          <w:sz w:val="28"/>
          <w:szCs w:val="28"/>
        </w:rPr>
      </w:pPr>
      <w:bookmarkStart w:id="51" w:name="_Toc27837"/>
      <w:r>
        <w:rPr>
          <w:rFonts w:hint="eastAsia"/>
          <w:color w:val="000000"/>
          <w:sz w:val="28"/>
          <w:szCs w:val="28"/>
        </w:rPr>
        <w:t>一、</w:t>
      </w:r>
      <w:r>
        <w:rPr>
          <w:rFonts w:hint="eastAsia" w:ascii="仿宋" w:hAnsi="仿宋" w:cs="仿宋"/>
          <w:color w:val="000000"/>
          <w:sz w:val="28"/>
          <w:szCs w:val="28"/>
        </w:rPr>
        <w:t>统筹落实环境质量领导责任</w:t>
      </w:r>
      <w:bookmarkEnd w:id="51"/>
    </w:p>
    <w:p w14:paraId="2BB0DDFE">
      <w:pPr>
        <w:ind w:firstLine="560"/>
      </w:pPr>
      <w:r>
        <w:rPr>
          <w:rFonts w:hint="eastAsia"/>
          <w:b/>
          <w:bCs/>
        </w:rPr>
        <w:t>认真落实党政同责、一岗双责。</w:t>
      </w:r>
      <w:r>
        <w:rPr>
          <w:rFonts w:hint="eastAsia"/>
        </w:rPr>
        <w:t>党委领导、政府主导作用持续强化，以上率下、上下联动格局巩固加强。完善县委县政府统一领导、生态环境主管部门统一监督管理、其他相关部门和乡镇（园区）政府落实实施生态环境保护和污染防治工作的工作机制。按照“管发展、管生产、管行业必须管环保”的原则，贯彻落实市直有关部门生态环境保护责任清单，推进各项目标任务落实，压实职能部门生态环境保护责任。</w:t>
      </w:r>
    </w:p>
    <w:p w14:paraId="6B70F1C5">
      <w:pPr>
        <w:ind w:firstLine="560"/>
      </w:pPr>
      <w:r>
        <w:rPr>
          <w:rFonts w:ascii="仿宋" w:hAnsi="仿宋"/>
          <w:b/>
          <w:bCs/>
          <w:color w:val="000000"/>
        </w:rPr>
        <w:t>完善突出生态环境问题整改落实机制。</w:t>
      </w:r>
      <w:r>
        <w:rPr>
          <w:rFonts w:hint="eastAsia"/>
        </w:rPr>
        <w:t>深化中央、省、市级生态环境保护督查、各类专项督查的反馈整改，完善督查对接工作体系，健全督查响应机制。根据《安徽省生态环境保护督查工作实施办法》，完善砀山县生态环境突出问题领导包保、部门包保、“点对点、长对长”整改责任制度，以及核查考核、验收销号、责任调查等具体制度。纵深推进“三大一强”专项攻坚行动，聚焦中央、省、市级生态环境保护督查反馈问题，举一反三排查整治，健全长效工作机制。</w:t>
      </w:r>
    </w:p>
    <w:p w14:paraId="62ABF827">
      <w:pPr>
        <w:ind w:firstLine="560"/>
      </w:pPr>
      <w:r>
        <w:rPr>
          <w:rFonts w:hint="eastAsia"/>
          <w:b/>
          <w:bCs/>
        </w:rPr>
        <w:t>统筹强化目标评价考核。</w:t>
      </w:r>
      <w:r>
        <w:rPr>
          <w:rFonts w:hint="eastAsia"/>
        </w:rPr>
        <w:t>完善生态环境保护责任评价考核体系，突出污染防治攻坚成效、生态环境质量改善考核，适时制定和实施县生态环境保护综合考核办法，加强考核结果应用，作为县委综合考核、县政府目标管理绩效考核生态环境类别评价依据，并进一步提高权重。充分运用考核结果，提升环境治理能力和水平。</w:t>
      </w:r>
    </w:p>
    <w:p w14:paraId="3736C334">
      <w:pPr>
        <w:pStyle w:val="4"/>
        <w:spacing w:before="0" w:after="0"/>
        <w:ind w:firstLine="600"/>
      </w:pPr>
      <w:bookmarkStart w:id="52" w:name="_Toc9102"/>
      <w:r>
        <w:rPr>
          <w:rFonts w:hint="eastAsia"/>
        </w:rPr>
        <w:t>二</w:t>
      </w:r>
      <w:r>
        <w:t>、</w:t>
      </w:r>
      <w:r>
        <w:rPr>
          <w:rFonts w:hint="eastAsia"/>
        </w:rPr>
        <w:t>强化落实企业主体责任</w:t>
      </w:r>
      <w:bookmarkEnd w:id="52"/>
    </w:p>
    <w:p w14:paraId="493B7B17">
      <w:pPr>
        <w:ind w:firstLine="560"/>
      </w:pPr>
      <w:r>
        <w:rPr>
          <w:rFonts w:hint="eastAsia"/>
          <w:b/>
          <w:bCs/>
        </w:rPr>
        <w:t>全面依法加强排污许可管理与信息公开。</w:t>
      </w:r>
      <w:r>
        <w:rPr>
          <w:rFonts w:hint="eastAsia"/>
        </w:rPr>
        <w:t>在固定污染源排污许可全覆盖的基础上，切实加强证后监管，引导排污单位持证排污、按证排污。深化排污许可信息化平台建设，依法妥善衔接排污许可与环评、总量、监测、执法、环统、环境保护税等环境管理制度的关系，实现“一证式”管理和部门信息共享，确保依法监管、严格执法。对固定污染源实行全过程管理和多污染物协同控制，推进企业环境治理责任制度落实，督促排污企业加大工艺技术和环境治理设施升级改造投入，重点排污企业要安装使用监测设备，确保设施设备正常运行和数据真实有效，坚决杜绝造假。被纳入排污许可重点管理、简化管理的发证类企业应通过全国排污许可证管理信息平台依法公开企业基础信息和排污情况。</w:t>
      </w:r>
    </w:p>
    <w:p w14:paraId="68751A0F">
      <w:pPr>
        <w:ind w:firstLine="560"/>
      </w:pPr>
      <w:r>
        <w:rPr>
          <w:rFonts w:hint="eastAsia"/>
          <w:b/>
          <w:bCs/>
        </w:rPr>
        <w:t>健全企业环境信用评价体系。</w:t>
      </w:r>
      <w:r>
        <w:rPr>
          <w:rFonts w:hint="eastAsia"/>
        </w:rPr>
        <w:t>结合社会信用体系建设工作，加强企业环境信用评价，依据评价结果实施分级分类管理，完善严重环境违法企业依法依规联合惩戒机制。建立完善企业环境治理信息披露制度，逐步推行排污企业黑名单制度，将企业违法信息计入信用记录。完善企业环境信用信息公开制度，推进生态环境部门与其他部门之间的环境信用信息共享，构建联合守信激励与失信惩戒机制。</w:t>
      </w:r>
    </w:p>
    <w:p w14:paraId="2C6B657F">
      <w:pPr>
        <w:ind w:firstLine="560"/>
        <w:outlineLvl w:val="2"/>
        <w:rPr>
          <w:b/>
          <w:bCs/>
        </w:rPr>
      </w:pPr>
      <w:r>
        <w:rPr>
          <w:rFonts w:hint="eastAsia"/>
          <w:b/>
          <w:bCs/>
        </w:rPr>
        <w:t>三、增强社会组织和公众参与意识</w:t>
      </w:r>
    </w:p>
    <w:p w14:paraId="0891E7DB">
      <w:pPr>
        <w:ind w:firstLine="560"/>
      </w:pPr>
      <w:r>
        <w:rPr>
          <w:rFonts w:hint="eastAsia"/>
          <w:b/>
          <w:bCs/>
        </w:rPr>
        <w:t>强化公众参与机制。</w:t>
      </w:r>
      <w:r>
        <w:rPr>
          <w:rFonts w:hint="eastAsia"/>
        </w:rPr>
        <w:t>健全公众监督和举报反馈机制，充分发挥工会、共青团、妇联等群团组织及公众在环境治理中的积极作用，动员各方力量参与环境治理。带动公众主动参与相关部门举办的各种生态环保特色活动，自觉践行绿色理念。鼓励新闻媒体或曝光生态环境突出问题、突发事件、环境违法行为，鼓励公众主动发挥“12369”环保举报热线作用，探索建立社会组织和公众与环保督察、执法、排查、暗访联动机制。</w:t>
      </w:r>
    </w:p>
    <w:p w14:paraId="34DDF5A2">
      <w:pPr>
        <w:ind w:firstLine="560"/>
      </w:pPr>
      <w:r>
        <w:rPr>
          <w:rFonts w:hint="eastAsia"/>
          <w:b/>
          <w:bCs/>
        </w:rPr>
        <w:t>加强生态环境保护宣传教育。</w:t>
      </w:r>
      <w:r>
        <w:rPr>
          <w:rFonts w:hint="eastAsia"/>
        </w:rPr>
        <w:t>将生态环境保护纳入国民教育、各级党校干部培训，开展生态环境教育基地创建活动，广泛普及生态环境知识，组织开展各类绿色创建行动，加快推进垃圾分类，倡导绿色低碳生活。建立生态环境新媒体宣传联动机制，研发推广环境文化产品，打造属于砀山县的环保公益宣传活动品牌。</w:t>
      </w:r>
    </w:p>
    <w:p w14:paraId="229F13B8">
      <w:pPr>
        <w:pStyle w:val="3"/>
      </w:pPr>
      <w:bookmarkStart w:id="53" w:name="_Toc6683"/>
      <w:bookmarkStart w:id="54" w:name="_Toc23790"/>
      <w:r>
        <w:rPr>
          <w:rFonts w:hint="eastAsia"/>
        </w:rPr>
        <w:t>第二节 优化健全治理机制和政策体系</w:t>
      </w:r>
      <w:bookmarkEnd w:id="53"/>
      <w:bookmarkEnd w:id="54"/>
    </w:p>
    <w:p w14:paraId="06D7FED9">
      <w:pPr>
        <w:pStyle w:val="4"/>
        <w:spacing w:before="0" w:after="0"/>
        <w:ind w:firstLine="560"/>
        <w:rPr>
          <w:sz w:val="28"/>
          <w:szCs w:val="28"/>
        </w:rPr>
      </w:pPr>
      <w:r>
        <w:rPr>
          <w:rFonts w:hint="eastAsia"/>
          <w:sz w:val="28"/>
          <w:szCs w:val="28"/>
        </w:rPr>
        <w:t>一、健全生态环境法治体系</w:t>
      </w:r>
    </w:p>
    <w:p w14:paraId="675BB2AE">
      <w:pPr>
        <w:ind w:firstLine="560"/>
        <w:jc w:val="left"/>
        <w:rPr>
          <w:rFonts w:ascii="仿宋" w:hAnsi="仿宋"/>
          <w:color w:val="000000"/>
        </w:rPr>
      </w:pPr>
      <w:r>
        <w:rPr>
          <w:rFonts w:ascii="仿宋" w:hAnsi="仿宋"/>
          <w:color w:val="000000"/>
        </w:rPr>
        <w:t>积极参与固体废物污染防治等地方性法规修订</w:t>
      </w:r>
      <w:r>
        <w:rPr>
          <w:rFonts w:hint="eastAsia" w:ascii="仿宋" w:hAnsi="仿宋"/>
          <w:color w:val="000000"/>
        </w:rPr>
        <w:t>。</w:t>
      </w:r>
      <w:r>
        <w:rPr>
          <w:rFonts w:ascii="仿宋" w:hAnsi="仿宋"/>
          <w:color w:val="000000"/>
        </w:rPr>
        <w:t>严格执行生态环保领域国家标准，积极参与省级地方标准制定</w:t>
      </w:r>
      <w:r>
        <w:rPr>
          <w:rFonts w:hint="eastAsia" w:ascii="仿宋" w:hAnsi="仿宋"/>
          <w:color w:val="000000"/>
        </w:rPr>
        <w:t>。深入落实生态环境</w:t>
      </w:r>
      <w:r>
        <w:t>损害赔偿制度，对造成生态环境损害的依法依规追究赔偿责任，对构成犯罪的依法追究刑事责任</w:t>
      </w:r>
      <w:r>
        <w:rPr>
          <w:rFonts w:hint="eastAsia"/>
        </w:rPr>
        <w:t>。</w:t>
      </w:r>
    </w:p>
    <w:p w14:paraId="62EEBDFF">
      <w:pPr>
        <w:pStyle w:val="4"/>
        <w:spacing w:before="0" w:after="0"/>
        <w:ind w:firstLine="560"/>
        <w:rPr>
          <w:sz w:val="28"/>
          <w:szCs w:val="28"/>
        </w:rPr>
      </w:pPr>
      <w:r>
        <w:rPr>
          <w:rFonts w:hint="eastAsia"/>
          <w:sz w:val="28"/>
          <w:szCs w:val="28"/>
        </w:rPr>
        <w:t>二、培育生态环境治理市场</w:t>
      </w:r>
    </w:p>
    <w:p w14:paraId="301566F9">
      <w:pPr>
        <w:ind w:firstLine="560"/>
      </w:pPr>
      <w:r>
        <w:rPr>
          <w:rFonts w:hint="eastAsia"/>
          <w:b/>
          <w:bCs/>
        </w:rPr>
        <w:t>构建规范开放的市场。</w:t>
      </w:r>
      <w:r>
        <w:rPr>
          <w:rFonts w:hint="eastAsia"/>
        </w:rPr>
        <w:t>深入推进“放管服”改革，严格执行公平竞争审查制度，依法清理取消各类限制民营企业、中小企业参与环境治理市场竞争的规定，深化“四送一服”活动，引导各类资本参与环境治理投资、建设、运营，坚决减少恶性竞争、防止恶意低价中标，确保环境治理市场公开透明、规范有序。</w:t>
      </w:r>
    </w:p>
    <w:p w14:paraId="0D7503A4">
      <w:pPr>
        <w:ind w:firstLine="560"/>
      </w:pPr>
      <w:r>
        <w:rPr>
          <w:rFonts w:hint="eastAsia"/>
          <w:b/>
          <w:bCs/>
        </w:rPr>
        <w:t>支持环保产业加快发展。</w:t>
      </w:r>
      <w:r>
        <w:rPr>
          <w:rFonts w:hint="eastAsia"/>
        </w:rPr>
        <w:t>对符合条件的环保产业新建项目、“专精特新”环保企业和首台（套）重大环保技术设备研制和使用单位给予支持。聚焦环境治理重点领域，实施生态环境科技专项，支持企业和科研机构承担科技项目，开展关键技术攻坚和成果示范应用。</w:t>
      </w:r>
    </w:p>
    <w:p w14:paraId="4396ADED">
      <w:pPr>
        <w:pStyle w:val="4"/>
        <w:spacing w:before="0" w:after="0"/>
        <w:ind w:firstLine="560"/>
        <w:rPr>
          <w:sz w:val="28"/>
          <w:szCs w:val="28"/>
        </w:rPr>
      </w:pPr>
      <w:r>
        <w:rPr>
          <w:rFonts w:hint="eastAsia"/>
          <w:sz w:val="28"/>
          <w:szCs w:val="28"/>
        </w:rPr>
        <w:t>三、完善环境经济政策机制</w:t>
      </w:r>
    </w:p>
    <w:p w14:paraId="4C22B803">
      <w:pPr>
        <w:ind w:firstLine="560"/>
      </w:pPr>
      <w:r>
        <w:rPr>
          <w:rFonts w:hint="eastAsia"/>
          <w:b/>
          <w:bCs/>
        </w:rPr>
        <w:t>落实财税支持政策。</w:t>
      </w:r>
      <w:r>
        <w:rPr>
          <w:rFonts w:hint="eastAsia"/>
        </w:rPr>
        <w:t>坚持投入与生态环境保护任务相匹配，建立健全常态化、稳定的环境治理财政资金投入机制。进一步加大大气、水、土壤污染防治和固体废物利用财政投入，统筹山水林田湖草一体化保护和修复。落实和完善支持产业结构、能源结构、运输结构和用地结构调整优化的各项政策。认真执行生态环境保护领域各项税收优惠政策，对排放应税大气污染物或水污染物的浓度值低于国家和地方规定污染物排放标准的纳税人，及时兑现减征政策。</w:t>
      </w:r>
    </w:p>
    <w:p w14:paraId="1053FA59">
      <w:pPr>
        <w:ind w:firstLine="560"/>
      </w:pPr>
      <w:r>
        <w:rPr>
          <w:rFonts w:hint="eastAsia"/>
          <w:b/>
          <w:bCs/>
        </w:rPr>
        <w:t>健全价格收费机制，加大金融扶持力度。</w:t>
      </w:r>
      <w:r>
        <w:rPr>
          <w:rFonts w:hint="eastAsia"/>
        </w:rPr>
        <w:t>坚持“水污染、谁付费”，建立健全“污染者付费+第三方治理”等机制。严格落实重点耗能行业差别电价政策。完善差别化水价动态调整机制。严格执行国家出台的污水垃圾处理收费政策，全面建立生活垃圾处理收费制度。鼓励和引导金融机构建立健全绿色金融体系，加大绿色金融产品服务供给，支持符合条件的金融机构和企业发行绿色债券，重点提高对战略新兴产业、科创企业、先进制造行业和绿色生态发展领域的信贷投入比例。积极推进排污权交易，研究探索开展排污权抵质押融资。积极运用再贴现、再贷款等工具，支持绿色企业发展，采取两项直达实体的货币政策工具，精准滴灌绿色小微企业。</w:t>
      </w:r>
    </w:p>
    <w:p w14:paraId="7C32622D">
      <w:pPr>
        <w:pStyle w:val="3"/>
      </w:pPr>
      <w:bookmarkStart w:id="55" w:name="_Toc27136"/>
      <w:bookmarkStart w:id="56" w:name="_Toc31457"/>
      <w:r>
        <w:rPr>
          <w:rFonts w:hint="eastAsia"/>
        </w:rPr>
        <w:t>第三节 全面提升</w:t>
      </w:r>
      <w:bookmarkEnd w:id="55"/>
      <w:r>
        <w:rPr>
          <w:rFonts w:hint="eastAsia"/>
        </w:rPr>
        <w:t>生态环境监测体系与监管信息化水平</w:t>
      </w:r>
      <w:bookmarkEnd w:id="56"/>
    </w:p>
    <w:p w14:paraId="1C85C933">
      <w:pPr>
        <w:widowControl/>
        <w:spacing w:line="420" w:lineRule="auto"/>
        <w:ind w:firstLine="560"/>
        <w:jc w:val="left"/>
        <w:outlineLvl w:val="2"/>
        <w:rPr>
          <w:rFonts w:ascii="仿宋" w:hAnsi="仿宋" w:cs="仿宋"/>
          <w:szCs w:val="28"/>
        </w:rPr>
      </w:pPr>
      <w:r>
        <w:rPr>
          <w:rFonts w:hint="eastAsia" w:ascii="仿宋" w:hAnsi="仿宋" w:cs="仿宋"/>
          <w:b/>
          <w:bCs/>
          <w:color w:val="0C0C0C"/>
          <w:kern w:val="0"/>
          <w:szCs w:val="28"/>
          <w:lang w:bidi="ar"/>
        </w:rPr>
        <w:t xml:space="preserve">一、加强生态环境监测体系建设 </w:t>
      </w:r>
    </w:p>
    <w:p w14:paraId="24D1F567">
      <w:pPr>
        <w:widowControl/>
        <w:spacing w:line="420" w:lineRule="auto"/>
        <w:ind w:firstLine="560"/>
        <w:jc w:val="left"/>
        <w:outlineLvl w:val="3"/>
        <w:rPr>
          <w:rFonts w:ascii="仿宋" w:hAnsi="仿宋" w:cs="仿宋"/>
          <w:szCs w:val="28"/>
        </w:rPr>
      </w:pPr>
      <w:r>
        <w:rPr>
          <w:rFonts w:hint="eastAsia" w:ascii="仿宋" w:hAnsi="仿宋" w:cs="仿宋"/>
          <w:b/>
          <w:bCs/>
          <w:color w:val="000000"/>
          <w:kern w:val="0"/>
          <w:szCs w:val="28"/>
          <w:lang w:bidi="ar"/>
        </w:rPr>
        <w:t xml:space="preserve">（一）强化生态环境监测能力建设 </w:t>
      </w:r>
    </w:p>
    <w:p w14:paraId="1144361D">
      <w:pPr>
        <w:widowControl/>
        <w:spacing w:line="420" w:lineRule="auto"/>
        <w:ind w:firstLine="560"/>
      </w:pPr>
      <w:r>
        <w:rPr>
          <w:rFonts w:hint="eastAsia" w:ascii="仿宋" w:hAnsi="仿宋" w:cs="仿宋"/>
          <w:color w:val="0C0C0C"/>
          <w:kern w:val="0"/>
          <w:szCs w:val="28"/>
          <w:lang w:bidi="ar"/>
        </w:rPr>
        <w:t>完善监测点空间布局，丰富监测点信息采集数据种类和数量。在现有“天</w:t>
      </w:r>
      <w:r>
        <w:rPr>
          <w:rFonts w:eastAsia="宋体"/>
          <w:color w:val="0C0C0C"/>
          <w:kern w:val="0"/>
          <w:szCs w:val="28"/>
          <w:lang w:bidi="ar"/>
        </w:rPr>
        <w:t>-</w:t>
      </w:r>
      <w:r>
        <w:rPr>
          <w:rFonts w:hint="eastAsia" w:ascii="仿宋" w:hAnsi="仿宋" w:cs="仿宋"/>
          <w:color w:val="0C0C0C"/>
          <w:kern w:val="0"/>
          <w:szCs w:val="28"/>
          <w:lang w:bidi="ar"/>
        </w:rPr>
        <w:t>空</w:t>
      </w:r>
      <w:r>
        <w:rPr>
          <w:rFonts w:eastAsia="宋体"/>
          <w:color w:val="0C0C0C"/>
          <w:kern w:val="0"/>
          <w:szCs w:val="28"/>
          <w:lang w:bidi="ar"/>
        </w:rPr>
        <w:t>-</w:t>
      </w:r>
      <w:r>
        <w:rPr>
          <w:rFonts w:hint="eastAsia" w:ascii="仿宋" w:hAnsi="仿宋" w:cs="仿宋"/>
          <w:color w:val="0C0C0C"/>
          <w:kern w:val="0"/>
          <w:szCs w:val="28"/>
          <w:lang w:bidi="ar"/>
        </w:rPr>
        <w:t>人</w:t>
      </w:r>
      <w:r>
        <w:rPr>
          <w:rFonts w:eastAsia="宋体"/>
          <w:color w:val="0C0C0C"/>
          <w:kern w:val="0"/>
          <w:szCs w:val="28"/>
          <w:lang w:bidi="ar"/>
        </w:rPr>
        <w:t>-</w:t>
      </w:r>
      <w:r>
        <w:rPr>
          <w:rFonts w:hint="eastAsia" w:ascii="仿宋" w:hAnsi="仿宋" w:cs="仿宋"/>
          <w:color w:val="0C0C0C"/>
          <w:kern w:val="0"/>
          <w:szCs w:val="28"/>
          <w:lang w:bidi="ar"/>
        </w:rPr>
        <w:t>地”监测网络的基础上，利用大数据分析、人工智能、物联网等创新技术，建立数据分析模型，提升决策水平。通过服务接口系统整合在用的空气、水、土壤、噪声等各类监测业务系统，全面推进监测业务管理信息化，形成“业务清晰，数据全面”的生态环境监测综合管理平台。支持平台数据实时汇入生态环境数据中心，形成生态环境数据一本台账、一张网络、一个窗口，加强与其他业务系统的数据共享交换，提升对生态环境管理工作的支撑能力。建立实验室，加大高端监测装备购置力度，推动监测装备精准、快速、便携化发展。</w:t>
      </w:r>
    </w:p>
    <w:p w14:paraId="559E4813">
      <w:pPr>
        <w:widowControl/>
        <w:spacing w:line="420" w:lineRule="auto"/>
        <w:ind w:firstLine="560"/>
        <w:jc w:val="left"/>
        <w:outlineLvl w:val="3"/>
        <w:rPr>
          <w:rFonts w:ascii="仿宋" w:hAnsi="仿宋" w:cs="仿宋"/>
          <w:szCs w:val="28"/>
        </w:rPr>
      </w:pPr>
      <w:r>
        <w:rPr>
          <w:rFonts w:hint="eastAsia" w:ascii="仿宋" w:hAnsi="仿宋" w:cs="仿宋"/>
          <w:b/>
          <w:bCs/>
          <w:color w:val="000000"/>
          <w:kern w:val="0"/>
          <w:szCs w:val="28"/>
          <w:lang w:bidi="ar"/>
        </w:rPr>
        <w:t xml:space="preserve">（二）建立健全精细化监测体系 </w:t>
      </w:r>
    </w:p>
    <w:p w14:paraId="1C760395">
      <w:pPr>
        <w:widowControl/>
        <w:spacing w:line="420" w:lineRule="auto"/>
        <w:ind w:firstLine="560"/>
      </w:pPr>
      <w:r>
        <w:rPr>
          <w:rFonts w:hint="eastAsia" w:ascii="仿宋" w:hAnsi="仿宋" w:cs="仿宋"/>
          <w:color w:val="0C0C0C"/>
          <w:kern w:val="0"/>
          <w:szCs w:val="28"/>
          <w:lang w:bidi="ar"/>
        </w:rPr>
        <w:t>加快实现空气质量短期精细化预报和中长期趋势预报，为打好大气污染防治攻坚战提供支撑。完善水质自动站监测数据管理平台，基于重点流域排污口汇入断面自动监测数据，建立水污染溯源分析模型，为水环境精细化管控提供支撑。加强乡镇级饮用水源地地下水水质监测能力建设，持续提高饮用水源环境状况评估能力。建立土壤样品管理数据库，实现建立土壤样品管理数据库，实现对土壤监测数据的集中化、标准化、信息化管理。</w:t>
      </w:r>
    </w:p>
    <w:p w14:paraId="30A1DE14">
      <w:pPr>
        <w:widowControl/>
        <w:spacing w:line="420" w:lineRule="auto"/>
        <w:ind w:firstLine="560"/>
        <w:jc w:val="left"/>
        <w:outlineLvl w:val="2"/>
        <w:rPr>
          <w:rFonts w:ascii="仿宋" w:hAnsi="仿宋" w:cs="仿宋"/>
          <w:b/>
          <w:bCs/>
          <w:color w:val="0C0C0C"/>
          <w:kern w:val="0"/>
          <w:szCs w:val="28"/>
          <w:lang w:bidi="ar"/>
        </w:rPr>
      </w:pPr>
      <w:r>
        <w:rPr>
          <w:rFonts w:hint="eastAsia" w:ascii="仿宋" w:hAnsi="仿宋" w:cs="仿宋"/>
          <w:b/>
          <w:bCs/>
          <w:color w:val="0C0C0C"/>
          <w:kern w:val="0"/>
          <w:szCs w:val="28"/>
          <w:lang w:bidi="ar"/>
        </w:rPr>
        <w:t>二、提升生态环境监管信息化水平</w:t>
      </w:r>
    </w:p>
    <w:p w14:paraId="570C4C67">
      <w:pPr>
        <w:widowControl/>
        <w:spacing w:line="420" w:lineRule="auto"/>
        <w:ind w:firstLine="560"/>
        <w:jc w:val="left"/>
        <w:outlineLvl w:val="3"/>
        <w:rPr>
          <w:rFonts w:ascii="仿宋" w:hAnsi="仿宋" w:cs="仿宋"/>
          <w:szCs w:val="28"/>
        </w:rPr>
      </w:pPr>
      <w:r>
        <w:rPr>
          <w:rFonts w:hint="eastAsia" w:ascii="仿宋" w:hAnsi="仿宋" w:cs="仿宋"/>
          <w:b/>
          <w:bCs/>
          <w:color w:val="000000"/>
          <w:kern w:val="0"/>
          <w:szCs w:val="28"/>
          <w:lang w:bidi="ar"/>
        </w:rPr>
        <w:t xml:space="preserve">（一）提升生态环境监管信息化协同水平 </w:t>
      </w:r>
    </w:p>
    <w:p w14:paraId="4809EF36">
      <w:pPr>
        <w:widowControl/>
        <w:spacing w:line="420" w:lineRule="auto"/>
        <w:ind w:firstLine="560"/>
        <w:rPr>
          <w:rFonts w:ascii="仿宋" w:hAnsi="仿宋" w:cs="仿宋"/>
          <w:color w:val="0C0C0C"/>
          <w:kern w:val="0"/>
          <w:szCs w:val="28"/>
          <w:lang w:bidi="ar"/>
        </w:rPr>
      </w:pPr>
      <w:r>
        <w:rPr>
          <w:rFonts w:hint="eastAsia" w:ascii="仿宋" w:hAnsi="仿宋" w:cs="仿宋"/>
          <w:color w:val="0C0C0C"/>
          <w:kern w:val="0"/>
          <w:szCs w:val="28"/>
          <w:lang w:bidi="ar"/>
        </w:rPr>
        <w:t>以“数字江淮-生态环境”平台为核心，汇集接入各环境要素监管子平台，形成全要素覆盖的生态环境监管“大平台”。以“一张图”为纽带，串联生态环境监测、管理、执法、应急等各项业务，做到数据实时共享、任务合理调度，全面提升业务协同水平。</w:t>
      </w:r>
    </w:p>
    <w:p w14:paraId="4033C8E1">
      <w:pPr>
        <w:widowControl/>
        <w:spacing w:line="420" w:lineRule="auto"/>
        <w:ind w:firstLine="560"/>
        <w:jc w:val="left"/>
        <w:outlineLvl w:val="3"/>
        <w:rPr>
          <w:rFonts w:ascii="仿宋" w:hAnsi="仿宋" w:cs="仿宋"/>
          <w:szCs w:val="28"/>
        </w:rPr>
      </w:pPr>
      <w:r>
        <w:rPr>
          <w:rFonts w:hint="eastAsia" w:ascii="仿宋" w:hAnsi="仿宋" w:cs="仿宋"/>
          <w:b/>
          <w:bCs/>
          <w:color w:val="000000"/>
          <w:kern w:val="0"/>
          <w:szCs w:val="28"/>
          <w:lang w:bidi="ar"/>
        </w:rPr>
        <w:t xml:space="preserve">（二）丰富信息化手段支撑生态环境精细化监管 </w:t>
      </w:r>
    </w:p>
    <w:p w14:paraId="2D2FF9D8">
      <w:pPr>
        <w:widowControl/>
        <w:spacing w:line="420" w:lineRule="auto"/>
        <w:ind w:firstLine="560"/>
        <w:rPr>
          <w:rFonts w:hint="eastAsia" w:ascii="仿宋" w:hAnsi="仿宋" w:cs="仿宋"/>
          <w:color w:val="0C0C0C"/>
          <w:kern w:val="0"/>
          <w:szCs w:val="28"/>
          <w:lang w:bidi="ar"/>
        </w:rPr>
      </w:pPr>
      <w:r>
        <w:rPr>
          <w:rFonts w:hint="eastAsia" w:ascii="仿宋" w:hAnsi="仿宋" w:cs="仿宋"/>
          <w:color w:val="0C0C0C"/>
          <w:kern w:val="0"/>
          <w:szCs w:val="28"/>
          <w:lang w:bidi="ar"/>
        </w:rPr>
        <w:t>推广运用</w:t>
      </w:r>
      <w:r>
        <w:rPr>
          <w:rFonts w:eastAsia="宋体"/>
          <w:color w:val="0C0C0C"/>
          <w:kern w:val="0"/>
          <w:szCs w:val="28"/>
          <w:lang w:bidi="ar"/>
        </w:rPr>
        <w:t>5G</w:t>
      </w:r>
      <w:r>
        <w:rPr>
          <w:rFonts w:hint="eastAsia" w:ascii="仿宋" w:hAnsi="仿宋" w:cs="仿宋"/>
          <w:color w:val="0C0C0C"/>
          <w:kern w:val="0"/>
          <w:szCs w:val="28"/>
          <w:lang w:bidi="ar"/>
        </w:rPr>
        <w:t>、物联网、卫星定位、视频监控等技术，全面加强对重点污染源、产废单位、危废经营单位的监管，做到“能监督、能跟踪、能溯源”。选取试点区域全面布设视频监控数据采集设备，对固废的产生、运输、贮存、处置及利用等环节进行全流程跟踪监督，提升环境风险防范能力。加强对生态环境进行全过程监管，利用互联网、卫星遥感、</w:t>
      </w:r>
      <w:r>
        <w:rPr>
          <w:rFonts w:eastAsia="宋体"/>
          <w:color w:val="0C0C0C"/>
          <w:kern w:val="0"/>
          <w:szCs w:val="28"/>
          <w:lang w:bidi="ar"/>
        </w:rPr>
        <w:t>GIS</w:t>
      </w:r>
      <w:r>
        <w:rPr>
          <w:rFonts w:hint="eastAsia" w:ascii="仿宋" w:hAnsi="仿宋" w:cs="仿宋"/>
          <w:color w:val="0C0C0C"/>
          <w:kern w:val="0"/>
          <w:szCs w:val="28"/>
          <w:lang w:bidi="ar"/>
        </w:rPr>
        <w:t>技术、无人机等先进信息技术与传统的人工巡查相结合，提高生态环境的监管水平及效率。</w:t>
      </w:r>
    </w:p>
    <w:p w14:paraId="11510376">
      <w:pPr>
        <w:widowControl/>
        <w:spacing w:line="420" w:lineRule="auto"/>
        <w:ind w:firstLine="560"/>
        <w:rPr>
          <w:rFonts w:hint="eastAsia" w:ascii="仿宋" w:hAnsi="仿宋" w:cs="仿宋"/>
          <w:color w:val="0C0C0C"/>
          <w:kern w:val="0"/>
          <w:szCs w:val="28"/>
          <w:lang w:bidi="ar"/>
        </w:rPr>
      </w:pPr>
    </w:p>
    <w:p w14:paraId="14EA0A55">
      <w:pPr>
        <w:widowControl/>
        <w:spacing w:line="420" w:lineRule="auto"/>
        <w:ind w:firstLine="560"/>
        <w:rPr>
          <w:rFonts w:hint="eastAsia" w:ascii="仿宋" w:hAnsi="仿宋" w:cs="仿宋"/>
          <w:color w:val="0C0C0C"/>
          <w:kern w:val="0"/>
          <w:szCs w:val="28"/>
          <w:lang w:bidi="ar"/>
        </w:rPr>
      </w:pPr>
    </w:p>
    <w:p w14:paraId="57B79264">
      <w:pPr>
        <w:widowControl/>
        <w:spacing w:line="420" w:lineRule="auto"/>
        <w:ind w:firstLine="560"/>
        <w:rPr>
          <w:rFonts w:hint="eastAsia" w:ascii="仿宋" w:hAnsi="仿宋" w:cs="仿宋"/>
          <w:color w:val="0C0C0C"/>
          <w:kern w:val="0"/>
          <w:szCs w:val="28"/>
          <w:lang w:bidi="ar"/>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F7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vAlign w:val="center"/>
          </w:tcPr>
          <w:p w14:paraId="2110B019">
            <w:pPr>
              <w:spacing w:line="360" w:lineRule="auto"/>
              <w:ind w:firstLine="482"/>
              <w:contextualSpacing/>
              <w:jc w:val="center"/>
              <w:rPr>
                <w:rFonts w:eastAsia="仿宋_GB2312"/>
                <w:b/>
                <w:bCs/>
                <w:color w:val="000000"/>
                <w:szCs w:val="28"/>
              </w:rPr>
            </w:pPr>
            <w:r>
              <w:rPr>
                <w:rFonts w:eastAsia="仿宋_GB2312"/>
                <w:b/>
                <w:bCs/>
                <w:color w:val="000000"/>
                <w:sz w:val="24"/>
              </w:rPr>
              <w:t>专栏</w:t>
            </w:r>
            <w:r>
              <w:rPr>
                <w:rFonts w:hint="eastAsia" w:eastAsia="仿宋_GB2312"/>
                <w:b/>
                <w:bCs/>
                <w:color w:val="000000"/>
                <w:sz w:val="24"/>
              </w:rPr>
              <w:t>6</w:t>
            </w:r>
            <w:r>
              <w:rPr>
                <w:rFonts w:eastAsia="仿宋_GB2312"/>
                <w:b/>
                <w:bCs/>
                <w:color w:val="000000"/>
                <w:sz w:val="24"/>
              </w:rPr>
              <w:t xml:space="preserve">  </w:t>
            </w:r>
            <w:r>
              <w:rPr>
                <w:rFonts w:hint="eastAsia" w:eastAsia="仿宋_GB2312"/>
                <w:b/>
                <w:bCs/>
                <w:color w:val="000000"/>
                <w:sz w:val="24"/>
              </w:rPr>
              <w:t>“数字江淮-生态环境”基础平台建设</w:t>
            </w:r>
            <w:r>
              <w:rPr>
                <w:rFonts w:eastAsia="仿宋_GB2312"/>
                <w:b/>
                <w:bCs/>
                <w:color w:val="000000"/>
                <w:sz w:val="24"/>
              </w:rPr>
              <w:t>工程</w:t>
            </w:r>
          </w:p>
        </w:tc>
      </w:tr>
      <w:tr w14:paraId="6DD9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E02048C">
            <w:pPr>
              <w:autoSpaceDE w:val="0"/>
              <w:autoSpaceDN w:val="0"/>
              <w:adjustRightInd w:val="0"/>
              <w:spacing w:line="360" w:lineRule="auto"/>
              <w:ind w:firstLine="560"/>
              <w:jc w:val="left"/>
            </w:pPr>
            <w:r>
              <w:rPr>
                <w:rFonts w:hint="eastAsia"/>
                <w:b/>
                <w:bCs/>
              </w:rPr>
              <w:t>生态环境数据资源中心建设项目</w:t>
            </w:r>
            <w:r>
              <w:rPr>
                <w:b/>
                <w:bCs/>
              </w:rPr>
              <w:t>：</w:t>
            </w:r>
            <w:r>
              <w:rPr>
                <w:rFonts w:hint="eastAsia"/>
              </w:rPr>
              <w:t>运用人工智能、大数据等技术，基于现有数据资源中心进行升级改造，推进各业务系统整合应用，完善生态环境数据资源体系、扩充数据接入体量、加强数据接入质量、推进数据融合、优化生态环境数据资源目录、开发数据分析模型和可视化展示功能，形成统一的生态环境基础数据库和应用数据库，全面加强对生态环境数据的归集、整合、管理以及共享能力，为构建生态环境智能预警预测体系奠定坚实基础。</w:t>
            </w:r>
          </w:p>
          <w:p w14:paraId="6AAFC931">
            <w:pPr>
              <w:spacing w:before="0" w:after="0" w:line="360" w:lineRule="auto"/>
              <w:ind w:firstLine="560" w:firstLineChars="200"/>
              <w:jc w:val="left"/>
              <w:outlineLvl w:val="9"/>
            </w:pPr>
            <w:r>
              <w:rPr>
                <w:rFonts w:hint="eastAsia"/>
                <w:bCs/>
                <w:kern w:val="2"/>
                <w:sz w:val="28"/>
                <w:szCs w:val="24"/>
              </w:rPr>
              <w:t>“双网融合”建设项目：</w:t>
            </w:r>
            <w:r>
              <w:rPr>
                <w:rFonts w:hint="eastAsia"/>
                <w:b w:val="0"/>
                <w:kern w:val="2"/>
                <w:sz w:val="28"/>
                <w:szCs w:val="24"/>
              </w:rPr>
              <w:t>依托政务外网改造全县原环保专网网络并入当地政务外网，同时保证网络业务地址不变，网络安全边界清晰，实现原环保专网内以及与政务外网间的数据交换和资源共享，并利用内外网改造机会加强自身网络安全建设。</w:t>
            </w:r>
          </w:p>
        </w:tc>
      </w:tr>
    </w:tbl>
    <w:p w14:paraId="7FDAF977">
      <w:pPr>
        <w:ind w:firstLine="560"/>
        <w:sectPr>
          <w:pgSz w:w="11906" w:h="16838"/>
          <w:pgMar w:top="1440" w:right="1800" w:bottom="1440" w:left="1800" w:header="851" w:footer="992" w:gutter="0"/>
          <w:cols w:space="425" w:num="1"/>
          <w:docGrid w:type="lines" w:linePitch="312" w:charSpace="0"/>
        </w:sectPr>
      </w:pPr>
    </w:p>
    <w:p w14:paraId="7938CB61">
      <w:pPr>
        <w:pStyle w:val="2"/>
      </w:pPr>
      <w:bookmarkStart w:id="57" w:name="_Toc2777"/>
      <w:r>
        <w:rPr>
          <w:rFonts w:hint="eastAsia"/>
        </w:rPr>
        <w:t>第八章 规划保障</w:t>
      </w:r>
      <w:bookmarkEnd w:id="57"/>
    </w:p>
    <w:p w14:paraId="5691E81B">
      <w:pPr>
        <w:pStyle w:val="3"/>
      </w:pPr>
      <w:bookmarkStart w:id="58" w:name="_Toc17910"/>
      <w:bookmarkStart w:id="59" w:name="_Toc3590"/>
      <w:r>
        <w:rPr>
          <w:rFonts w:hint="eastAsia"/>
        </w:rPr>
        <w:t>第一节 强化组织领导，建立环保目标责任制</w:t>
      </w:r>
      <w:bookmarkEnd w:id="58"/>
      <w:bookmarkEnd w:id="59"/>
    </w:p>
    <w:p w14:paraId="16431AFD">
      <w:pPr>
        <w:widowControl/>
        <w:ind w:firstLine="560"/>
      </w:pPr>
      <w:bookmarkStart w:id="60" w:name="_Toc27603"/>
      <w:r>
        <w:rPr>
          <w:rFonts w:ascii="仿宋" w:hAnsi="仿宋" w:cs="仿宋"/>
          <w:color w:val="0C0C0C"/>
          <w:kern w:val="0"/>
          <w:szCs w:val="28"/>
          <w:lang w:bidi="ar"/>
        </w:rPr>
        <w:t>坚持党的全面领导，将党的领导落实到规划实施的各领域和全过</w:t>
      </w:r>
      <w:r>
        <w:rPr>
          <w:rFonts w:hint="eastAsia" w:ascii="仿宋" w:hAnsi="仿宋" w:cs="仿宋"/>
          <w:color w:val="0C0C0C"/>
          <w:kern w:val="0"/>
          <w:szCs w:val="28"/>
          <w:lang w:bidi="ar"/>
        </w:rPr>
        <w:t>程，严格落实生态环境保护“党政同责”、“一岗双责”。各级政府是实施规划的主体，要把生态环境保护工作放在突出位置，组织制定工作方案，细化分解目标任务，协调各有关部门，结合实际情况组织实施。有关部门要按照职责分工，制定配套政策，完善相关规章，抓好任务落实和监督检查。</w:t>
      </w:r>
    </w:p>
    <w:p w14:paraId="1ABFFFE9">
      <w:pPr>
        <w:pStyle w:val="3"/>
      </w:pPr>
      <w:bookmarkStart w:id="61" w:name="_Toc19830"/>
      <w:r>
        <w:rPr>
          <w:rFonts w:hint="eastAsia"/>
        </w:rPr>
        <w:t>第二节 坚持依法行政，加强生态环境执法力度</w:t>
      </w:r>
      <w:bookmarkEnd w:id="60"/>
      <w:bookmarkEnd w:id="61"/>
    </w:p>
    <w:p w14:paraId="3EE0A4B3">
      <w:pPr>
        <w:tabs>
          <w:tab w:val="left" w:pos="1376"/>
        </w:tabs>
        <w:ind w:firstLine="560"/>
      </w:pPr>
      <w:r>
        <w:rPr>
          <w:rFonts w:hint="eastAsia"/>
        </w:rPr>
        <w:t>进一步强化环保行政主管部门执法主体地位和责任，提高环境执法的执行力和权威性，规范执法行为和程序，建立“权责分明、行为规范、监督有效、保障有力”的现场执法体制，对环境污染受害者提供法律咨询服务；加大处罚力度，彻底扭转“违法成本低、守法成本高”的现象。</w:t>
      </w:r>
    </w:p>
    <w:p w14:paraId="47DA6CD8">
      <w:pPr>
        <w:ind w:firstLine="560"/>
      </w:pPr>
      <w:r>
        <w:rPr>
          <w:rFonts w:hint="eastAsia"/>
        </w:rPr>
        <w:t>加强部门协调，完善联合执法机制。进一步建立健全部门联合执法机制，完善执法制度，强化现场执法检查；规范环境执法行为，实行执法责任追究制，加强对环境执法活动的行政监察。</w:t>
      </w:r>
    </w:p>
    <w:p w14:paraId="3A7E4D62">
      <w:pPr>
        <w:ind w:firstLine="560"/>
      </w:pPr>
      <w:r>
        <w:rPr>
          <w:rFonts w:hint="eastAsia"/>
        </w:rPr>
        <w:t>严格执行环境影响评价制度和“三同时”制度。完善建设项目环境管理，依法推动规划环评，充分发挥规划环评在城市总体规划、土地利用规划、区域资源开发、产业结构调整等重大决策与实施中的作用，从源头防治环境污染和生态破坏；加强排污许可证的动态管理。</w:t>
      </w:r>
    </w:p>
    <w:p w14:paraId="600CBC96">
      <w:pPr>
        <w:pStyle w:val="3"/>
      </w:pPr>
      <w:bookmarkStart w:id="62" w:name="_Toc19887"/>
      <w:bookmarkStart w:id="63" w:name="_Toc32558"/>
      <w:r>
        <w:rPr>
          <w:rFonts w:hint="eastAsia"/>
        </w:rPr>
        <w:t>第三节 加强制度保障，完善生态文明建设体系</w:t>
      </w:r>
      <w:bookmarkEnd w:id="62"/>
      <w:bookmarkEnd w:id="63"/>
    </w:p>
    <w:p w14:paraId="18799DC6">
      <w:pPr>
        <w:tabs>
          <w:tab w:val="left" w:pos="1651"/>
        </w:tabs>
        <w:ind w:firstLine="560"/>
        <w:jc w:val="left"/>
      </w:pPr>
      <w:r>
        <w:rPr>
          <w:rFonts w:hint="eastAsia"/>
        </w:rPr>
        <w:t>建立健全国土空间开发保护制度，实行最严格的耕地保护制度、水资源管理制度、环境保护制度。按照生态文明建设要求全面清理和修订规范性文件，重点在水源保护区、农田保护区以及绿地方面完善相关规章体系。积极探索建立更加符合生态文明建设要求的环境治理机制，把资源消耗、环境损害、生态效益纳入经济社会发展评价体系，建立体现生态文明要求的目标体系、考核办法、奖惩机制，全面提升环境管理水平。全面加强重污染行业审查，把重污染企业环保审批与入园整治挂钩，实行从严管理；严把减排关，建立健全污染减排年度报告、减排预警等制度，进一步完善工作机制和责任体系，切实转变环保部</w:t>
      </w:r>
      <w:r>
        <w:rPr>
          <w:rFonts w:hint="eastAsia"/>
          <w:lang w:eastAsia="zh-CN"/>
        </w:rPr>
        <w:t>门</w:t>
      </w:r>
      <w:r>
        <w:rPr>
          <w:rFonts w:hint="eastAsia"/>
        </w:rPr>
        <w:t>单打独斗的现状，协同推进减排开展。</w:t>
      </w:r>
    </w:p>
    <w:p w14:paraId="6CF2670B">
      <w:pPr>
        <w:pStyle w:val="3"/>
      </w:pPr>
      <w:bookmarkStart w:id="64" w:name="_Toc1303"/>
      <w:bookmarkStart w:id="65" w:name="_Toc11634"/>
      <w:r>
        <w:rPr>
          <w:rFonts w:hint="eastAsia"/>
        </w:rPr>
        <w:t>第四节 强化组织管理，建立环境监测评估机制</w:t>
      </w:r>
      <w:bookmarkEnd w:id="64"/>
      <w:bookmarkEnd w:id="65"/>
    </w:p>
    <w:p w14:paraId="4967071B">
      <w:pPr>
        <w:spacing w:line="360" w:lineRule="auto"/>
        <w:ind w:firstLine="560"/>
        <w:textAlignment w:val="baseline"/>
        <w:rPr>
          <w:szCs w:val="28"/>
        </w:rPr>
      </w:pPr>
      <w:r>
        <w:rPr>
          <w:rFonts w:hint="eastAsia"/>
          <w:szCs w:val="28"/>
        </w:rPr>
        <w:t>根据规划要求和目标，落实任务和项目计划，强化组织、工程和资金管理。规划确定的工程项目要严格实行按规划立项、按项目管理、按设计施工、按效益考核。强化组织管理，建立有效的投资评估制度和专家参议制度。建立规划目标、措施和效果的定期检查、评估和协调机制，按照国家标准化建设要求，配置好环境监测、环境监察机构人员和装备设施，定期发布监测评估结果，保障“十四五”规划的顺利实施。建立地表水交界断面监控设施，完善大气自动监测网络和重点污染源在线监测监控系统，提升监督管理手段。</w:t>
      </w:r>
    </w:p>
    <w:p w14:paraId="0A3AC4EA">
      <w:pPr>
        <w:pStyle w:val="3"/>
      </w:pPr>
      <w:bookmarkStart w:id="66" w:name="_Toc17437"/>
      <w:bookmarkStart w:id="67" w:name="_Toc7059"/>
      <w:r>
        <w:rPr>
          <w:rFonts w:hint="eastAsia"/>
        </w:rPr>
        <w:t>第五节 加大资金投入，建立多元化投融资机制</w:t>
      </w:r>
      <w:bookmarkEnd w:id="66"/>
      <w:bookmarkEnd w:id="67"/>
    </w:p>
    <w:p w14:paraId="1AE8320C">
      <w:pPr>
        <w:widowControl/>
        <w:ind w:firstLine="560"/>
        <w:jc w:val="left"/>
      </w:pPr>
      <w:r>
        <w:rPr>
          <w:rFonts w:hint="eastAsia" w:ascii="仿宋" w:hAnsi="仿宋" w:cs="仿宋"/>
          <w:b/>
          <w:bCs/>
          <w:szCs w:val="28"/>
        </w:rPr>
        <w:t>切实加大投入力度，拓宽投融资渠道。</w:t>
      </w:r>
      <w:r>
        <w:rPr>
          <w:rFonts w:hint="eastAsia" w:ascii="仿宋" w:hAnsi="仿宋" w:cs="仿宋"/>
          <w:szCs w:val="28"/>
        </w:rPr>
        <w:t>加强财政资金保障，加大对环境污染治理、生态系统保护、环境基础能力建设等重点工作的投入力度。创新环保专项资金、生态转移支付、基金、</w:t>
      </w:r>
      <w:r>
        <w:rPr>
          <w:szCs w:val="28"/>
        </w:rPr>
        <w:t>PPP</w:t>
      </w:r>
      <w:r>
        <w:rPr>
          <w:rFonts w:hint="eastAsia" w:ascii="仿宋" w:hAnsi="仿宋" w:cs="仿宋"/>
          <w:szCs w:val="28"/>
        </w:rPr>
        <w:t>等各类环保投融资方式，积极引导社会资本参与生态环境保护，完善多元化的环保投入机制。</w:t>
      </w:r>
      <w:r>
        <w:rPr>
          <w:rFonts w:ascii="仿宋" w:hAnsi="仿宋" w:cs="仿宋"/>
          <w:color w:val="0C0C0C"/>
          <w:kern w:val="0"/>
          <w:szCs w:val="28"/>
          <w:lang w:bidi="ar"/>
        </w:rPr>
        <w:t>严格执行投资</w:t>
      </w:r>
      <w:r>
        <w:rPr>
          <w:rFonts w:hint="eastAsia" w:ascii="仿宋" w:hAnsi="仿宋" w:cs="仿宋"/>
          <w:color w:val="0C0C0C"/>
          <w:kern w:val="0"/>
          <w:szCs w:val="28"/>
          <w:lang w:bidi="ar"/>
        </w:rPr>
        <w:t>问效、追踪管理，提高资金的使用绩效，严厉追究资金使用中出现违规违纪行为。</w:t>
      </w:r>
    </w:p>
    <w:p w14:paraId="1146F913">
      <w:pPr>
        <w:spacing w:line="360" w:lineRule="auto"/>
        <w:ind w:firstLine="560"/>
        <w:rPr>
          <w:rFonts w:ascii="仿宋" w:hAnsi="仿宋" w:cs="仿宋"/>
          <w:szCs w:val="28"/>
        </w:rPr>
      </w:pPr>
      <w:r>
        <w:rPr>
          <w:rFonts w:hint="eastAsia" w:ascii="仿宋" w:hAnsi="仿宋" w:cs="仿宋"/>
          <w:b/>
          <w:bCs/>
          <w:szCs w:val="28"/>
        </w:rPr>
        <w:t>完善金融扶持。</w:t>
      </w:r>
      <w:r>
        <w:rPr>
          <w:rFonts w:hint="eastAsia" w:ascii="仿宋" w:hAnsi="仿宋" w:cs="仿宋"/>
          <w:szCs w:val="28"/>
        </w:rPr>
        <w:t>积极对接和争取国家、省绿色发展基金政策支持，重点用于绿色产业发展、生态工程建设等。推动建立土壤污染防治基金。鼓励和引导金融机构建立健全绿色金融服务体系，加大绿色金融产品服务供给，支持符合条件的金融机构和企业发行绿色债券。积极进行排污权交易，研究探索开展排污权抵质押融资。</w:t>
      </w:r>
    </w:p>
    <w:p w14:paraId="3E075EBD">
      <w:pPr>
        <w:pStyle w:val="3"/>
      </w:pPr>
      <w:bookmarkStart w:id="68" w:name="_Toc19566"/>
      <w:bookmarkStart w:id="69" w:name="_Toc13112"/>
      <w:r>
        <w:rPr>
          <w:rFonts w:hint="eastAsia"/>
        </w:rPr>
        <w:t>第六节 推动社会共治，提高公众生态文明意识</w:t>
      </w:r>
      <w:bookmarkEnd w:id="68"/>
      <w:bookmarkEnd w:id="69"/>
    </w:p>
    <w:p w14:paraId="30CFB86A">
      <w:pPr>
        <w:tabs>
          <w:tab w:val="left" w:pos="613"/>
        </w:tabs>
        <w:ind w:firstLine="560"/>
      </w:pPr>
      <w:r>
        <w:rPr>
          <w:rFonts w:hint="eastAsia"/>
          <w:b/>
          <w:bCs/>
        </w:rPr>
        <w:tab/>
      </w:r>
      <w:r>
        <w:rPr>
          <w:rFonts w:hint="eastAsia"/>
          <w:b/>
          <w:bCs/>
        </w:rPr>
        <w:t>增强社会生态文明意识。</w:t>
      </w:r>
      <w:r>
        <w:rPr>
          <w:rFonts w:hint="eastAsia"/>
        </w:rPr>
        <w:t>大力宣传环境保护方面的法律，不断增强社会人民群众的资源意识和环境意识，引导公众、社会团体、新闻媒体关注和监督企业的环境行为，营造全社会共同参与环境保护的良好氛围。</w:t>
      </w:r>
    </w:p>
    <w:p w14:paraId="2D8119DA">
      <w:pPr>
        <w:widowControl/>
        <w:ind w:firstLine="560"/>
      </w:pPr>
      <w:r>
        <w:rPr>
          <w:rFonts w:hint="eastAsia"/>
          <w:b/>
          <w:bCs/>
        </w:rPr>
        <w:t>完善环境信息公开制度。</w:t>
      </w:r>
      <w:r>
        <w:rPr>
          <w:rFonts w:ascii="仿宋" w:hAnsi="仿宋" w:cs="仿宋"/>
          <w:color w:val="0C0C0C"/>
          <w:kern w:val="0"/>
          <w:szCs w:val="28"/>
          <w:lang w:bidi="ar"/>
        </w:rPr>
        <w:t>建立健全统一的信息发布机制，把握正确的舆论导向，主动发挥</w:t>
      </w:r>
      <w:r>
        <w:rPr>
          <w:rFonts w:hint="eastAsia" w:ascii="仿宋" w:hAnsi="仿宋" w:cs="仿宋"/>
          <w:color w:val="0C0C0C"/>
          <w:kern w:val="0"/>
          <w:szCs w:val="28"/>
          <w:lang w:bidi="ar"/>
        </w:rPr>
        <w:t>新闻媒体和网络作用，深入宣传生态优先、绿色发展理念，全面解读规划定位和重点任务。</w:t>
      </w:r>
      <w:r>
        <w:rPr>
          <w:rFonts w:hint="eastAsia"/>
        </w:rPr>
        <w:t>推进环保政务公开，实行环境质量公告制度，发布城市空气、城市噪声、饮用水源水质、重点流域水质、污染事故、环保政策法规、环保项目审批和案件处理等环境信息。推进企业环境信息公开，保障公众的环境知情权。</w:t>
      </w:r>
    </w:p>
    <w:p w14:paraId="18F3D8C9">
      <w:pPr>
        <w:ind w:firstLine="560"/>
        <w:sectPr>
          <w:pgSz w:w="11906" w:h="16838"/>
          <w:pgMar w:top="1440" w:right="1800" w:bottom="1440" w:left="1800" w:header="851" w:footer="992" w:gutter="0"/>
          <w:cols w:space="425" w:num="1"/>
          <w:docGrid w:type="lines" w:linePitch="312" w:charSpace="0"/>
        </w:sectPr>
      </w:pPr>
      <w:r>
        <w:rPr>
          <w:rFonts w:hint="eastAsia"/>
          <w:b/>
          <w:bCs/>
        </w:rPr>
        <w:t>完善公众参与环境保护机制。</w:t>
      </w:r>
      <w:r>
        <w:rPr>
          <w:rFonts w:hint="eastAsia"/>
        </w:rPr>
        <w:t>各级环保部门增加环境管理的透明度，加大社会舆论监督力度，充分发挥新闻媒体的监督作用，充分发挥“12369”环保举报热线的作用，拓宽和畅通群众举报投诉渠道。</w:t>
      </w:r>
    </w:p>
    <w:p w14:paraId="3C40E209">
      <w:pPr>
        <w:pStyle w:val="2"/>
        <w:rPr>
          <w:color w:val="0C0C0C"/>
        </w:rPr>
      </w:pPr>
      <w:bookmarkStart w:id="70" w:name="_Toc9689"/>
      <w:bookmarkStart w:id="71" w:name="_Toc97487297"/>
      <w:bookmarkStart w:id="72" w:name="_Toc26480"/>
      <w:bookmarkStart w:id="73" w:name="_Toc87690695"/>
      <w:bookmarkStart w:id="74" w:name="_Toc13274"/>
      <w:r>
        <w:rPr>
          <w:rFonts w:hint="eastAsia"/>
          <w:color w:val="0C0C0C"/>
        </w:rPr>
        <w:t>附表  砀山县“十四五”生态环境保护重点工程计划表</w:t>
      </w:r>
      <w:bookmarkEnd w:id="70"/>
      <w:bookmarkEnd w:id="71"/>
      <w:bookmarkEnd w:id="72"/>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03"/>
        <w:gridCol w:w="6997"/>
        <w:gridCol w:w="1428"/>
        <w:gridCol w:w="1907"/>
        <w:gridCol w:w="1414"/>
      </w:tblGrid>
      <w:tr w14:paraId="1A91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blHeader/>
          <w:jc w:val="center"/>
        </w:trPr>
        <w:tc>
          <w:tcPr>
            <w:tcW w:w="252" w:type="pct"/>
            <w:vAlign w:val="center"/>
          </w:tcPr>
          <w:p w14:paraId="79037FF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序号</w:t>
            </w:r>
          </w:p>
        </w:tc>
        <w:tc>
          <w:tcPr>
            <w:tcW w:w="601" w:type="pct"/>
            <w:vAlign w:val="center"/>
          </w:tcPr>
          <w:p w14:paraId="10EC072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项目名称</w:t>
            </w:r>
          </w:p>
        </w:tc>
        <w:tc>
          <w:tcPr>
            <w:tcW w:w="2469" w:type="pct"/>
            <w:vAlign w:val="center"/>
          </w:tcPr>
          <w:p w14:paraId="7EB9D72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主要内容</w:t>
            </w:r>
          </w:p>
        </w:tc>
        <w:tc>
          <w:tcPr>
            <w:tcW w:w="504" w:type="pct"/>
            <w:vAlign w:val="center"/>
          </w:tcPr>
          <w:p w14:paraId="3EFFB38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投资估算/万元</w:t>
            </w:r>
          </w:p>
        </w:tc>
        <w:tc>
          <w:tcPr>
            <w:tcW w:w="673" w:type="pct"/>
            <w:vAlign w:val="center"/>
          </w:tcPr>
          <w:p w14:paraId="5C2BFAE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实施周期</w:t>
            </w:r>
          </w:p>
        </w:tc>
        <w:tc>
          <w:tcPr>
            <w:tcW w:w="499" w:type="pct"/>
            <w:vAlign w:val="center"/>
          </w:tcPr>
          <w:p w14:paraId="35ACF13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bCs w:val="0"/>
                <w:color w:val="0C0C0C"/>
                <w:sz w:val="24"/>
                <w:szCs w:val="24"/>
              </w:rPr>
            </w:pPr>
            <w:r>
              <w:rPr>
                <w:rFonts w:hint="eastAsia" w:ascii="仿宋" w:hAnsi="仿宋" w:cs="仿宋"/>
                <w:b/>
                <w:bCs w:val="0"/>
                <w:color w:val="0C0C0C"/>
                <w:sz w:val="24"/>
                <w:szCs w:val="24"/>
              </w:rPr>
              <w:t>责任单位</w:t>
            </w:r>
          </w:p>
        </w:tc>
      </w:tr>
      <w:tr w14:paraId="647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0BC3760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w:t>
            </w:r>
          </w:p>
        </w:tc>
        <w:tc>
          <w:tcPr>
            <w:tcW w:w="601" w:type="pct"/>
            <w:vAlign w:val="center"/>
          </w:tcPr>
          <w:p w14:paraId="31CE718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砀山城区居民集中供热工程</w:t>
            </w:r>
          </w:p>
        </w:tc>
        <w:tc>
          <w:tcPr>
            <w:tcW w:w="2469" w:type="pct"/>
            <w:vAlign w:val="center"/>
          </w:tcPr>
          <w:p w14:paraId="04555AB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铺设供热管道80千米、建立供热站2座等及配套设施建设。</w:t>
            </w:r>
          </w:p>
        </w:tc>
        <w:tc>
          <w:tcPr>
            <w:tcW w:w="504" w:type="pct"/>
            <w:vAlign w:val="center"/>
          </w:tcPr>
          <w:p w14:paraId="7E6A4B3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50000</w:t>
            </w:r>
          </w:p>
        </w:tc>
        <w:tc>
          <w:tcPr>
            <w:tcW w:w="673" w:type="pct"/>
            <w:vAlign w:val="center"/>
          </w:tcPr>
          <w:p w14:paraId="005C831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7CCF1A2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2485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6AF67E3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2</w:t>
            </w:r>
          </w:p>
        </w:tc>
        <w:tc>
          <w:tcPr>
            <w:tcW w:w="601" w:type="pct"/>
            <w:vAlign w:val="center"/>
          </w:tcPr>
          <w:p w14:paraId="1EED4F4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砀山县城地表给水厂</w:t>
            </w:r>
          </w:p>
        </w:tc>
        <w:tc>
          <w:tcPr>
            <w:tcW w:w="2469" w:type="pct"/>
            <w:vAlign w:val="center"/>
          </w:tcPr>
          <w:p w14:paraId="169C764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项目建设处理规模5.0万立方米/天水厂一座；水源：来自废黄河林屯水库及岳家水库；出水水质：满足国家生活饮用水卫生标准；制水工艺：本工程从废黄河取水，根据河水水质及周边地区类似水厂运行经验，采用“预臭氧+折板絮凝平流沉淀池+V型滤池+臭氧后接触池+活性炭过滤+消毒”的深度水处理工艺；配套的闸门、提升泵站、管道。</w:t>
            </w:r>
          </w:p>
        </w:tc>
        <w:tc>
          <w:tcPr>
            <w:tcW w:w="504" w:type="pct"/>
            <w:vAlign w:val="center"/>
          </w:tcPr>
          <w:p w14:paraId="05012B5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30000</w:t>
            </w:r>
          </w:p>
        </w:tc>
        <w:tc>
          <w:tcPr>
            <w:tcW w:w="673" w:type="pct"/>
            <w:vAlign w:val="center"/>
          </w:tcPr>
          <w:p w14:paraId="478C1E3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2021-2023年</w:t>
            </w:r>
          </w:p>
        </w:tc>
        <w:tc>
          <w:tcPr>
            <w:tcW w:w="499" w:type="pct"/>
            <w:vAlign w:val="center"/>
          </w:tcPr>
          <w:p w14:paraId="4C5D3E3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867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258895D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3</w:t>
            </w:r>
          </w:p>
        </w:tc>
        <w:tc>
          <w:tcPr>
            <w:tcW w:w="601" w:type="pct"/>
            <w:vAlign w:val="center"/>
          </w:tcPr>
          <w:p w14:paraId="68B5F18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砀山县城西污水处理厂</w:t>
            </w:r>
          </w:p>
        </w:tc>
        <w:tc>
          <w:tcPr>
            <w:tcW w:w="2469" w:type="pct"/>
            <w:vAlign w:val="center"/>
          </w:tcPr>
          <w:p w14:paraId="2FA230F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总建设规模5万吨/d，主要处理工艺：城市生活污水—粗格栅提升泵房—细格栅沉砂池—水解酸化池—多级多段A/O池—二沉池—二次提升泵房—高效沉淀池—V形滤池—接触消毒池—计量渠—尾水（准地表水Ⅳ类标准）排放。配套污水管网长度约3600米（其中DN1200管道1000米，DN800污水管道2600米）。</w:t>
            </w:r>
          </w:p>
        </w:tc>
        <w:tc>
          <w:tcPr>
            <w:tcW w:w="504" w:type="pct"/>
            <w:vAlign w:val="center"/>
          </w:tcPr>
          <w:p w14:paraId="31697E9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29500</w:t>
            </w:r>
          </w:p>
        </w:tc>
        <w:tc>
          <w:tcPr>
            <w:tcW w:w="673" w:type="pct"/>
            <w:vAlign w:val="center"/>
          </w:tcPr>
          <w:p w14:paraId="08AA77E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2021-2023年</w:t>
            </w:r>
          </w:p>
        </w:tc>
        <w:tc>
          <w:tcPr>
            <w:tcW w:w="499" w:type="pct"/>
            <w:vAlign w:val="center"/>
          </w:tcPr>
          <w:p w14:paraId="17D0236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B09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509E2AF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4</w:t>
            </w:r>
          </w:p>
        </w:tc>
        <w:tc>
          <w:tcPr>
            <w:tcW w:w="601" w:type="pct"/>
            <w:vAlign w:val="center"/>
          </w:tcPr>
          <w:p w14:paraId="0EE9B3E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砀山县城市污水处理提质增效工程项目</w:t>
            </w:r>
          </w:p>
        </w:tc>
        <w:tc>
          <w:tcPr>
            <w:tcW w:w="2469" w:type="pct"/>
            <w:vAlign w:val="center"/>
          </w:tcPr>
          <w:p w14:paraId="74CE594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1、砀山县高铁新区污水处理厂二期扩建工程。2、砀山县主城区雨污水管网工程。3、砀山县经济开发区工业污水处理厂尾水泵站及管网工程。</w:t>
            </w:r>
          </w:p>
        </w:tc>
        <w:tc>
          <w:tcPr>
            <w:tcW w:w="504" w:type="pct"/>
            <w:vAlign w:val="center"/>
          </w:tcPr>
          <w:p w14:paraId="11D45CA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9000</w:t>
            </w:r>
          </w:p>
        </w:tc>
        <w:tc>
          <w:tcPr>
            <w:tcW w:w="673" w:type="pct"/>
            <w:vAlign w:val="center"/>
          </w:tcPr>
          <w:p w14:paraId="5802195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32F1922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7B41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7B4BDA0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5</w:t>
            </w:r>
          </w:p>
        </w:tc>
        <w:tc>
          <w:tcPr>
            <w:tcW w:w="601" w:type="pct"/>
            <w:vAlign w:val="center"/>
          </w:tcPr>
          <w:p w14:paraId="3F7E4BB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砀山县镇（园区）建成区污水治理提质增效管网项目</w:t>
            </w:r>
          </w:p>
        </w:tc>
        <w:tc>
          <w:tcPr>
            <w:tcW w:w="2469" w:type="pct"/>
            <w:vAlign w:val="center"/>
          </w:tcPr>
          <w:p w14:paraId="2AD41DE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完成对13个镇（园区）建成区进行污水管网铺设约160公里，实现雨污分流。</w:t>
            </w:r>
          </w:p>
        </w:tc>
        <w:tc>
          <w:tcPr>
            <w:tcW w:w="504" w:type="pct"/>
            <w:vAlign w:val="center"/>
          </w:tcPr>
          <w:p w14:paraId="1316062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18000</w:t>
            </w:r>
          </w:p>
        </w:tc>
        <w:tc>
          <w:tcPr>
            <w:tcW w:w="673" w:type="pct"/>
            <w:vAlign w:val="center"/>
          </w:tcPr>
          <w:p w14:paraId="55DFDEA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60846B3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22D6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1313638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6</w:t>
            </w:r>
          </w:p>
        </w:tc>
        <w:tc>
          <w:tcPr>
            <w:tcW w:w="601" w:type="pct"/>
            <w:vAlign w:val="center"/>
          </w:tcPr>
          <w:p w14:paraId="35980EC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砀山县城乡供水一体化建设</w:t>
            </w:r>
          </w:p>
        </w:tc>
        <w:tc>
          <w:tcPr>
            <w:tcW w:w="2469" w:type="pct"/>
            <w:vAlign w:val="center"/>
          </w:tcPr>
          <w:p w14:paraId="2DA6819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砀山县城市水厂进行管网延伸，并网城市规划范围内的农村水厂，进行一体化供水。设计供水规模7140m³/d，供水人口10.2535万人</w:t>
            </w:r>
          </w:p>
        </w:tc>
        <w:tc>
          <w:tcPr>
            <w:tcW w:w="504" w:type="pct"/>
            <w:vAlign w:val="center"/>
          </w:tcPr>
          <w:p w14:paraId="6F945F5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1600</w:t>
            </w:r>
          </w:p>
        </w:tc>
        <w:tc>
          <w:tcPr>
            <w:tcW w:w="673" w:type="pct"/>
            <w:vAlign w:val="center"/>
          </w:tcPr>
          <w:p w14:paraId="3679DA7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17CB367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3D67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2E4B0E3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7</w:t>
            </w:r>
          </w:p>
        </w:tc>
        <w:tc>
          <w:tcPr>
            <w:tcW w:w="601" w:type="pct"/>
            <w:vAlign w:val="center"/>
          </w:tcPr>
          <w:p w14:paraId="05CC9CD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砀山县废黄河、复新河、利民河连通工程，利民河、大沙河连通</w:t>
            </w:r>
          </w:p>
        </w:tc>
        <w:tc>
          <w:tcPr>
            <w:tcW w:w="2469" w:type="pct"/>
            <w:vAlign w:val="center"/>
          </w:tcPr>
          <w:p w14:paraId="6BAFC00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废黄河、文家河、复新河、苗城河、利民河水系连通，疏浚河道，新建控制枢纽2座，节制涵闸3座；连通铁路运河与黄杨沟，疏浚北湘西河与南沙河，配建节制枢纽。</w:t>
            </w:r>
          </w:p>
        </w:tc>
        <w:tc>
          <w:tcPr>
            <w:tcW w:w="504" w:type="pct"/>
            <w:vAlign w:val="center"/>
          </w:tcPr>
          <w:p w14:paraId="7A77771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19000</w:t>
            </w:r>
          </w:p>
        </w:tc>
        <w:tc>
          <w:tcPr>
            <w:tcW w:w="673" w:type="pct"/>
            <w:vAlign w:val="center"/>
          </w:tcPr>
          <w:p w14:paraId="051A243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7726F64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7049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63ECC8C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8</w:t>
            </w:r>
          </w:p>
        </w:tc>
        <w:tc>
          <w:tcPr>
            <w:tcW w:w="601" w:type="pct"/>
            <w:vAlign w:val="center"/>
          </w:tcPr>
          <w:p w14:paraId="175F068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砀山县黑臭水体治理项目</w:t>
            </w:r>
          </w:p>
        </w:tc>
        <w:tc>
          <w:tcPr>
            <w:tcW w:w="2469" w:type="pct"/>
            <w:vAlign w:val="center"/>
          </w:tcPr>
          <w:p w14:paraId="1077B02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对全县农村坑塘、沟渠等黑臭水体进行整治（包括清淤、疏浚、截污工程、生态修复、超标水体治理等）。</w:t>
            </w:r>
          </w:p>
        </w:tc>
        <w:tc>
          <w:tcPr>
            <w:tcW w:w="504" w:type="pct"/>
            <w:vAlign w:val="center"/>
          </w:tcPr>
          <w:p w14:paraId="6E51DF1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100000</w:t>
            </w:r>
          </w:p>
        </w:tc>
        <w:tc>
          <w:tcPr>
            <w:tcW w:w="673" w:type="pct"/>
            <w:vAlign w:val="center"/>
          </w:tcPr>
          <w:p w14:paraId="625E495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67281F5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869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26D1A3B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9</w:t>
            </w:r>
          </w:p>
        </w:tc>
        <w:tc>
          <w:tcPr>
            <w:tcW w:w="601" w:type="pct"/>
            <w:vAlign w:val="center"/>
          </w:tcPr>
          <w:p w14:paraId="7BBCBC6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砀山县农村饮水自动化与信息化工程</w:t>
            </w:r>
          </w:p>
        </w:tc>
        <w:tc>
          <w:tcPr>
            <w:tcW w:w="2469" w:type="pct"/>
            <w:vAlign w:val="center"/>
          </w:tcPr>
          <w:p w14:paraId="0E5FF30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对全县农村饮水安全工程运行进行信息化建设。新建县级农村饮水工程信息平台1处；改造水厂自动化控制系统26处；改造入户水表智能化及入户管改造230013户；水源保护等。</w:t>
            </w:r>
          </w:p>
        </w:tc>
        <w:tc>
          <w:tcPr>
            <w:tcW w:w="504" w:type="pct"/>
            <w:vAlign w:val="center"/>
          </w:tcPr>
          <w:p w14:paraId="2081B40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13000</w:t>
            </w:r>
          </w:p>
        </w:tc>
        <w:tc>
          <w:tcPr>
            <w:tcW w:w="673" w:type="pct"/>
            <w:vAlign w:val="center"/>
          </w:tcPr>
          <w:p w14:paraId="7B23E28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4D5D2C1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1F8E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152099F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10</w:t>
            </w:r>
          </w:p>
        </w:tc>
        <w:tc>
          <w:tcPr>
            <w:tcW w:w="601" w:type="pct"/>
            <w:vAlign w:val="center"/>
          </w:tcPr>
          <w:p w14:paraId="1E1A9C4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砀山县农村饮水安全提升工程</w:t>
            </w:r>
          </w:p>
        </w:tc>
        <w:tc>
          <w:tcPr>
            <w:tcW w:w="2469" w:type="pct"/>
            <w:vAlign w:val="center"/>
          </w:tcPr>
          <w:p w14:paraId="3280686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对全县已建规模水厂进行管网延伸的方式，解决全县16个镇（园区）258个未通水自然村及部分已通水自然村24.4152万人农村居民的饮水不安全问题。</w:t>
            </w:r>
          </w:p>
        </w:tc>
        <w:tc>
          <w:tcPr>
            <w:tcW w:w="504" w:type="pct"/>
            <w:vAlign w:val="center"/>
          </w:tcPr>
          <w:p w14:paraId="1FCDB7C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51400</w:t>
            </w:r>
          </w:p>
        </w:tc>
        <w:tc>
          <w:tcPr>
            <w:tcW w:w="673" w:type="pct"/>
            <w:vAlign w:val="center"/>
          </w:tcPr>
          <w:p w14:paraId="05B8A1A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2CF719B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0BC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38498B7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11</w:t>
            </w:r>
          </w:p>
        </w:tc>
        <w:tc>
          <w:tcPr>
            <w:tcW w:w="601" w:type="pct"/>
            <w:vAlign w:val="center"/>
          </w:tcPr>
          <w:p w14:paraId="731CE38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砀山县果皮果渣综合利用项目</w:t>
            </w:r>
          </w:p>
        </w:tc>
        <w:tc>
          <w:tcPr>
            <w:tcW w:w="2469" w:type="pct"/>
            <w:vAlign w:val="center"/>
          </w:tcPr>
          <w:p w14:paraId="18E4AE7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利用砀山县水果加工行业果皮果渣加工再利用，加工有机肥料。</w:t>
            </w:r>
          </w:p>
        </w:tc>
        <w:tc>
          <w:tcPr>
            <w:tcW w:w="504" w:type="pct"/>
            <w:vAlign w:val="center"/>
          </w:tcPr>
          <w:p w14:paraId="3FA46AF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10000</w:t>
            </w:r>
          </w:p>
        </w:tc>
        <w:tc>
          <w:tcPr>
            <w:tcW w:w="673" w:type="pct"/>
            <w:vAlign w:val="center"/>
          </w:tcPr>
          <w:p w14:paraId="36F95C3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4586A19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0E8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183D91E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12</w:t>
            </w:r>
          </w:p>
        </w:tc>
        <w:tc>
          <w:tcPr>
            <w:tcW w:w="601" w:type="pct"/>
            <w:vAlign w:val="center"/>
          </w:tcPr>
          <w:p w14:paraId="3C4EACF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砀山县餐厨废弃物资源化利用项目</w:t>
            </w:r>
          </w:p>
        </w:tc>
        <w:tc>
          <w:tcPr>
            <w:tcW w:w="2469" w:type="pct"/>
            <w:vAlign w:val="center"/>
          </w:tcPr>
          <w:p w14:paraId="7480318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建设餐厨垃圾处理厂一座，同时协同处置园林绿化垃圾及市政粪便。</w:t>
            </w:r>
          </w:p>
        </w:tc>
        <w:tc>
          <w:tcPr>
            <w:tcW w:w="504" w:type="pct"/>
            <w:vAlign w:val="center"/>
          </w:tcPr>
          <w:p w14:paraId="5B38AB8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19007</w:t>
            </w:r>
          </w:p>
        </w:tc>
        <w:tc>
          <w:tcPr>
            <w:tcW w:w="673" w:type="pct"/>
            <w:vAlign w:val="center"/>
          </w:tcPr>
          <w:p w14:paraId="7755766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2020-2023年</w:t>
            </w:r>
          </w:p>
        </w:tc>
        <w:tc>
          <w:tcPr>
            <w:tcW w:w="499" w:type="pct"/>
            <w:vAlign w:val="center"/>
          </w:tcPr>
          <w:p w14:paraId="7F2B9EC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2080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350E78B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13</w:t>
            </w:r>
          </w:p>
        </w:tc>
        <w:tc>
          <w:tcPr>
            <w:tcW w:w="601" w:type="pct"/>
            <w:vAlign w:val="center"/>
          </w:tcPr>
          <w:p w14:paraId="705558B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砀山县餐厨垃圾处理再利用项目</w:t>
            </w:r>
          </w:p>
        </w:tc>
        <w:tc>
          <w:tcPr>
            <w:tcW w:w="2469" w:type="pct"/>
            <w:vAlign w:val="center"/>
          </w:tcPr>
          <w:p w14:paraId="0D297BE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设200t/d餐厨垃圾处理全套设备生产线1套，2条流水辅助设备线，专用运输车辆20台，并配套建设道路、停车场、围墙及绿化环保设施，供配电、排水、消防等公用辅助工程。</w:t>
            </w:r>
          </w:p>
        </w:tc>
        <w:tc>
          <w:tcPr>
            <w:tcW w:w="504" w:type="pct"/>
            <w:vAlign w:val="center"/>
          </w:tcPr>
          <w:p w14:paraId="29F61EF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50000</w:t>
            </w:r>
          </w:p>
        </w:tc>
        <w:tc>
          <w:tcPr>
            <w:tcW w:w="673" w:type="pct"/>
            <w:vAlign w:val="center"/>
          </w:tcPr>
          <w:p w14:paraId="570E58B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0B34491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97A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63D3E65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14</w:t>
            </w:r>
          </w:p>
        </w:tc>
        <w:tc>
          <w:tcPr>
            <w:tcW w:w="601" w:type="pct"/>
            <w:vAlign w:val="center"/>
          </w:tcPr>
          <w:p w14:paraId="0668DB7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砀山县畜禽粪污资源化利用整县推进项目</w:t>
            </w:r>
          </w:p>
        </w:tc>
        <w:tc>
          <w:tcPr>
            <w:tcW w:w="2469" w:type="pct"/>
            <w:vAlign w:val="center"/>
          </w:tcPr>
          <w:p w14:paraId="30D5FF3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畜禽粪污收集、贮存、处理、利用等环节的基础设施、设备。1、支持规模养殖场改造升级；2、支持规模以下养殖场建设密闭式化粪池贮存池或沼气池等粪污发酵设施；3、支持社会化服务组织购买粪污运输、粪污检测、粪肥施用设备等。</w:t>
            </w:r>
          </w:p>
        </w:tc>
        <w:tc>
          <w:tcPr>
            <w:tcW w:w="504" w:type="pct"/>
            <w:vAlign w:val="center"/>
          </w:tcPr>
          <w:p w14:paraId="05A535F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6000</w:t>
            </w:r>
          </w:p>
        </w:tc>
        <w:tc>
          <w:tcPr>
            <w:tcW w:w="673" w:type="pct"/>
            <w:vAlign w:val="center"/>
          </w:tcPr>
          <w:p w14:paraId="44A8736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3563392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5616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728DF9F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15</w:t>
            </w:r>
          </w:p>
        </w:tc>
        <w:tc>
          <w:tcPr>
            <w:tcW w:w="601" w:type="pct"/>
            <w:vAlign w:val="center"/>
          </w:tcPr>
          <w:p w14:paraId="75B65092">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砀山县农村人居环境整治</w:t>
            </w:r>
          </w:p>
        </w:tc>
        <w:tc>
          <w:tcPr>
            <w:tcW w:w="2469" w:type="pct"/>
            <w:vAlign w:val="center"/>
          </w:tcPr>
          <w:p w14:paraId="5B46FB8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各镇建设无害化卫生厕所，共计10万座；葛集镇、李庄镇、良梨镇、唐寨镇建设垃圾分类示范点4处；各镇建设配套管网、实施道路建设、自然村亮化。</w:t>
            </w:r>
          </w:p>
        </w:tc>
        <w:tc>
          <w:tcPr>
            <w:tcW w:w="504" w:type="pct"/>
            <w:vAlign w:val="center"/>
          </w:tcPr>
          <w:p w14:paraId="08C2A8F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116700</w:t>
            </w:r>
          </w:p>
        </w:tc>
        <w:tc>
          <w:tcPr>
            <w:tcW w:w="673" w:type="pct"/>
            <w:vAlign w:val="center"/>
          </w:tcPr>
          <w:p w14:paraId="3592324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08A81F22">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2A73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37E60D0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16</w:t>
            </w:r>
          </w:p>
        </w:tc>
        <w:tc>
          <w:tcPr>
            <w:tcW w:w="601" w:type="pct"/>
            <w:vAlign w:val="center"/>
          </w:tcPr>
          <w:p w14:paraId="59ED607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砀山县乡村整体提升建设项目</w:t>
            </w:r>
          </w:p>
        </w:tc>
        <w:tc>
          <w:tcPr>
            <w:tcW w:w="2469" w:type="pct"/>
            <w:vAlign w:val="center"/>
          </w:tcPr>
          <w:p w14:paraId="15A7290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对砀山县曹庄镇、程庄镇、砀山经济开发区、高铁新区、薛楼园区等16个乡镇（园区）的乡村整体环境进行提升。</w:t>
            </w:r>
          </w:p>
        </w:tc>
        <w:tc>
          <w:tcPr>
            <w:tcW w:w="504" w:type="pct"/>
            <w:vAlign w:val="center"/>
          </w:tcPr>
          <w:p w14:paraId="4936175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95700</w:t>
            </w:r>
          </w:p>
        </w:tc>
        <w:tc>
          <w:tcPr>
            <w:tcW w:w="673" w:type="pct"/>
            <w:vAlign w:val="center"/>
          </w:tcPr>
          <w:p w14:paraId="5901222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1A4779E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6550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081DA07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17</w:t>
            </w:r>
          </w:p>
        </w:tc>
        <w:tc>
          <w:tcPr>
            <w:tcW w:w="601" w:type="pct"/>
            <w:vAlign w:val="center"/>
          </w:tcPr>
          <w:p w14:paraId="041A626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砀山县美丽乡村建设项目</w:t>
            </w:r>
          </w:p>
        </w:tc>
        <w:tc>
          <w:tcPr>
            <w:tcW w:w="2469" w:type="pct"/>
            <w:vAlign w:val="center"/>
          </w:tcPr>
          <w:p w14:paraId="0FFC561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十四五期间计划创建50个省级中心村。道路硬化、卫生改厕、污水处理设施、坑塘整治、村庄亮化、村庄绿化、村级便民服务中心。</w:t>
            </w:r>
          </w:p>
        </w:tc>
        <w:tc>
          <w:tcPr>
            <w:tcW w:w="504" w:type="pct"/>
            <w:vAlign w:val="center"/>
          </w:tcPr>
          <w:p w14:paraId="5EFF86E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34600</w:t>
            </w:r>
          </w:p>
        </w:tc>
        <w:tc>
          <w:tcPr>
            <w:tcW w:w="673" w:type="pct"/>
            <w:vAlign w:val="center"/>
          </w:tcPr>
          <w:p w14:paraId="4698AAC0">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285AC68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70F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50BA88E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18</w:t>
            </w:r>
          </w:p>
        </w:tc>
        <w:tc>
          <w:tcPr>
            <w:tcW w:w="601" w:type="pct"/>
            <w:vAlign w:val="center"/>
          </w:tcPr>
          <w:p w14:paraId="0F1FD9CB">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砀山县小神湖人工湿地建设项目</w:t>
            </w:r>
          </w:p>
        </w:tc>
        <w:tc>
          <w:tcPr>
            <w:tcW w:w="2469" w:type="pct"/>
            <w:vAlign w:val="center"/>
          </w:tcPr>
          <w:p w14:paraId="2997E3D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建设人工湿地300亩。</w:t>
            </w:r>
          </w:p>
        </w:tc>
        <w:tc>
          <w:tcPr>
            <w:tcW w:w="504" w:type="pct"/>
            <w:vAlign w:val="center"/>
          </w:tcPr>
          <w:p w14:paraId="71EF049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4000</w:t>
            </w:r>
          </w:p>
        </w:tc>
        <w:tc>
          <w:tcPr>
            <w:tcW w:w="673" w:type="pct"/>
            <w:vAlign w:val="center"/>
          </w:tcPr>
          <w:p w14:paraId="1108327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2021-2022年</w:t>
            </w:r>
          </w:p>
        </w:tc>
        <w:tc>
          <w:tcPr>
            <w:tcW w:w="499" w:type="pct"/>
            <w:vAlign w:val="center"/>
          </w:tcPr>
          <w:p w14:paraId="294887E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6FA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63A3773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19</w:t>
            </w:r>
          </w:p>
        </w:tc>
        <w:tc>
          <w:tcPr>
            <w:tcW w:w="601" w:type="pct"/>
            <w:vAlign w:val="center"/>
          </w:tcPr>
          <w:p w14:paraId="4F2BCBD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砀山县水环境治理工程</w:t>
            </w:r>
          </w:p>
        </w:tc>
        <w:tc>
          <w:tcPr>
            <w:tcW w:w="2469" w:type="pct"/>
            <w:vAlign w:val="center"/>
          </w:tcPr>
          <w:p w14:paraId="33E770A8">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为整体改善砀山县水域环境，从全县角度进行综合布局、顶层设计、自上而下、分步实施。分别对县、镇、村现存水环境问题进行分类、总结，具体举措为从黑臭水体、水系连通、动力提升、管护体系等四个方面提出针对性的解决方法，其工程内容包括：新建泵站37座、河道底泥清淤660km、水系连通开挖土方430万m³、扩建污水处理厂15座、闸站工程3座、新建杨庄枢纽与林屯枢纽、新建生态挡墙52km、铺设污水管网1100km、配套输水管网120km、开挖小神湖与西湖占地均为1000亩、环城河老城区改造与整体提升等。</w:t>
            </w:r>
          </w:p>
        </w:tc>
        <w:tc>
          <w:tcPr>
            <w:tcW w:w="504" w:type="pct"/>
            <w:vAlign w:val="center"/>
          </w:tcPr>
          <w:p w14:paraId="09F8698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205000</w:t>
            </w:r>
          </w:p>
        </w:tc>
        <w:tc>
          <w:tcPr>
            <w:tcW w:w="673" w:type="pct"/>
            <w:vAlign w:val="center"/>
          </w:tcPr>
          <w:p w14:paraId="6F638B8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2020-2023年</w:t>
            </w:r>
          </w:p>
        </w:tc>
        <w:tc>
          <w:tcPr>
            <w:tcW w:w="499" w:type="pct"/>
            <w:vAlign w:val="center"/>
          </w:tcPr>
          <w:p w14:paraId="1ACA979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3313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7D111F6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20</w:t>
            </w:r>
          </w:p>
        </w:tc>
        <w:tc>
          <w:tcPr>
            <w:tcW w:w="601" w:type="pct"/>
            <w:vAlign w:val="center"/>
          </w:tcPr>
          <w:p w14:paraId="2B2A639D">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砀山县老旧小区综合改造工程</w:t>
            </w:r>
          </w:p>
        </w:tc>
        <w:tc>
          <w:tcPr>
            <w:tcW w:w="2469" w:type="pct"/>
            <w:vAlign w:val="center"/>
          </w:tcPr>
          <w:p w14:paraId="4F33A5F7">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意发小区、红梅小区、砀中教师公寓楼、五中教师公寓等11个老旧小区屋面漏水、墙面渗透、雨污分流、内外墙粉刷、路灯、安防监控、车位改造、新增电动车棚、绿化改造、消防设施改造、变压器更换、燃气网管铺设、弱电改造，重新铺设路面、门前道路。</w:t>
            </w:r>
          </w:p>
        </w:tc>
        <w:tc>
          <w:tcPr>
            <w:tcW w:w="504" w:type="pct"/>
            <w:vAlign w:val="center"/>
          </w:tcPr>
          <w:p w14:paraId="4A1076F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21000</w:t>
            </w:r>
          </w:p>
        </w:tc>
        <w:tc>
          <w:tcPr>
            <w:tcW w:w="673" w:type="pct"/>
            <w:vAlign w:val="center"/>
          </w:tcPr>
          <w:p w14:paraId="7B3178CE">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2021-2025年</w:t>
            </w:r>
          </w:p>
        </w:tc>
        <w:tc>
          <w:tcPr>
            <w:tcW w:w="499" w:type="pct"/>
            <w:vAlign w:val="center"/>
          </w:tcPr>
          <w:p w14:paraId="475A6FD3">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734B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779BB7B6">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21</w:t>
            </w:r>
          </w:p>
        </w:tc>
        <w:tc>
          <w:tcPr>
            <w:tcW w:w="601" w:type="pct"/>
            <w:vAlign w:val="center"/>
          </w:tcPr>
          <w:p w14:paraId="78D3AF2C">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砀山县城乡生活垃圾分类项目</w:t>
            </w:r>
          </w:p>
        </w:tc>
        <w:tc>
          <w:tcPr>
            <w:tcW w:w="2469" w:type="pct"/>
            <w:vAlign w:val="center"/>
          </w:tcPr>
          <w:p w14:paraId="6FBC199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项目建设各类垃圾前端分类收集设施，可回收物收运车辆、有害垃圾收集车辆等收集收运体系建设；一个再生资源分拣中心，再生资源回收网点的建设；宣传牌、横幅、花草牌等宣传设施。</w:t>
            </w:r>
          </w:p>
        </w:tc>
        <w:tc>
          <w:tcPr>
            <w:tcW w:w="504" w:type="pct"/>
            <w:vAlign w:val="center"/>
          </w:tcPr>
          <w:p w14:paraId="588B0939">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5160.5</w:t>
            </w:r>
          </w:p>
        </w:tc>
        <w:tc>
          <w:tcPr>
            <w:tcW w:w="673" w:type="pct"/>
            <w:vAlign w:val="center"/>
          </w:tcPr>
          <w:p w14:paraId="40254E8A">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2021-2023年</w:t>
            </w:r>
          </w:p>
        </w:tc>
        <w:tc>
          <w:tcPr>
            <w:tcW w:w="499" w:type="pct"/>
            <w:vAlign w:val="center"/>
          </w:tcPr>
          <w:p w14:paraId="23141D4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tr w14:paraId="4B6A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 w:type="pct"/>
            <w:vAlign w:val="center"/>
          </w:tcPr>
          <w:p w14:paraId="1E84D8C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22</w:t>
            </w:r>
          </w:p>
        </w:tc>
        <w:tc>
          <w:tcPr>
            <w:tcW w:w="601" w:type="pct"/>
            <w:vAlign w:val="center"/>
          </w:tcPr>
          <w:p w14:paraId="2A3A8301">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砀山黄河故道省级自然保护区保护与恢复项目</w:t>
            </w:r>
          </w:p>
        </w:tc>
        <w:tc>
          <w:tcPr>
            <w:tcW w:w="2469" w:type="pct"/>
            <w:vAlign w:val="center"/>
          </w:tcPr>
          <w:p w14:paraId="2CD62785">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textAlignment w:val="auto"/>
              <w:outlineLvl w:val="9"/>
              <w:rPr>
                <w:rFonts w:ascii="仿宋" w:hAnsi="仿宋" w:cs="仿宋"/>
                <w:b w:val="0"/>
                <w:color w:val="0C0C0C"/>
                <w:sz w:val="24"/>
                <w:szCs w:val="24"/>
              </w:rPr>
            </w:pPr>
            <w:r>
              <w:rPr>
                <w:rFonts w:hint="eastAsia" w:ascii="仿宋" w:hAnsi="仿宋" w:cs="仿宋"/>
                <w:b w:val="0"/>
                <w:color w:val="0C0C0C"/>
                <w:sz w:val="24"/>
                <w:szCs w:val="24"/>
              </w:rPr>
              <w:t>完成围堤建设，在围堤内进行不同细微栖息生境建设，营造深水、浅水区、草本沼泽湿地、森林沼泽湿地、泥滩地等适合不同鸟类需求的生境。在保护区瞭望台东构筑一条约240米的阻水坝，对西侧约25公顷的湿地实施生态补水。对湿地的管理人员进行能力培训，完成专业技术及管理能力培训60人次，举办大型科普宣传活动8次，使受教育人数达到5000人次。同时制作一批湿地宣传册、明白纸、宣传光盘、科普展板等，通过实施各项措施将大幅提高湿地的保护、管理、监测、科研和宣教能力。</w:t>
            </w:r>
          </w:p>
        </w:tc>
        <w:tc>
          <w:tcPr>
            <w:tcW w:w="504" w:type="pct"/>
            <w:vAlign w:val="center"/>
          </w:tcPr>
          <w:p w14:paraId="2B1C690F">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79</w:t>
            </w:r>
          </w:p>
        </w:tc>
        <w:tc>
          <w:tcPr>
            <w:tcW w:w="673" w:type="pct"/>
            <w:vAlign w:val="center"/>
          </w:tcPr>
          <w:p w14:paraId="05A62BB2">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2021-2022年</w:t>
            </w:r>
          </w:p>
        </w:tc>
        <w:tc>
          <w:tcPr>
            <w:tcW w:w="499" w:type="pct"/>
            <w:vAlign w:val="center"/>
          </w:tcPr>
          <w:p w14:paraId="6AEFE584">
            <w:pPr>
              <w:keepNext w:val="0"/>
              <w:keepLines w:val="0"/>
              <w:pageBreakBefore w:val="0"/>
              <w:widowControl w:val="0"/>
              <w:kinsoku/>
              <w:wordWrap/>
              <w:overflowPunct w:val="0"/>
              <w:topLinePunct w:val="0"/>
              <w:autoSpaceDE/>
              <w:autoSpaceDN/>
              <w:bidi w:val="0"/>
              <w:adjustRightInd/>
              <w:snapToGrid/>
              <w:spacing w:before="100" w:beforeAutospacing="1" w:after="100" w:afterAutospacing="1" w:line="240" w:lineRule="auto"/>
              <w:ind w:firstLine="0" w:firstLineChars="0"/>
              <w:jc w:val="center"/>
              <w:textAlignment w:val="auto"/>
              <w:outlineLvl w:val="9"/>
              <w:rPr>
                <w:rFonts w:ascii="仿宋" w:hAnsi="仿宋" w:cs="仿宋"/>
                <w:b w:val="0"/>
                <w:color w:val="0C0C0C"/>
                <w:sz w:val="24"/>
                <w:szCs w:val="24"/>
              </w:rPr>
            </w:pPr>
            <w:r>
              <w:rPr>
                <w:rFonts w:hint="eastAsia" w:ascii="仿宋" w:hAnsi="仿宋" w:cs="仿宋"/>
                <w:b w:val="0"/>
                <w:color w:val="0C0C0C"/>
                <w:sz w:val="24"/>
                <w:szCs w:val="24"/>
              </w:rPr>
              <w:t>砀山县</w:t>
            </w:r>
          </w:p>
        </w:tc>
      </w:tr>
      <w:bookmarkEnd w:id="73"/>
      <w:bookmarkEnd w:id="74"/>
    </w:tbl>
    <w:p w14:paraId="0BFB7881">
      <w:pPr>
        <w:pStyle w:val="2"/>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897A">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2FAAA">
                          <w:pPr>
                            <w:pStyle w:val="11"/>
                            <w:ind w:firstLine="3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4F2FAAA">
                    <w:pPr>
                      <w:pStyle w:val="11"/>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A25E">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CC52E">
                          <w:pPr>
                            <w:pStyle w:val="11"/>
                            <w:ind w:firstLine="360"/>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ECC52E">
                    <w:pPr>
                      <w:pStyle w:val="11"/>
                      <w:ind w:firstLine="360"/>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hMWUxZjQwMTFiZjJkODlkZDlkNDlkZjQ3NGQyMjEifQ=="/>
  </w:docVars>
  <w:rsids>
    <w:rsidRoot w:val="0EDC11A7"/>
    <w:rsid w:val="000A482A"/>
    <w:rsid w:val="00110FBC"/>
    <w:rsid w:val="002A51AC"/>
    <w:rsid w:val="002C75BA"/>
    <w:rsid w:val="004A663E"/>
    <w:rsid w:val="00583AE7"/>
    <w:rsid w:val="005E76F5"/>
    <w:rsid w:val="008516ED"/>
    <w:rsid w:val="009C4EE6"/>
    <w:rsid w:val="00A355EA"/>
    <w:rsid w:val="00A660F8"/>
    <w:rsid w:val="00A96B41"/>
    <w:rsid w:val="00AC5FC1"/>
    <w:rsid w:val="00BA7183"/>
    <w:rsid w:val="00C17457"/>
    <w:rsid w:val="00C63D60"/>
    <w:rsid w:val="00D405D3"/>
    <w:rsid w:val="00D4594F"/>
    <w:rsid w:val="00D47FB7"/>
    <w:rsid w:val="00E15C2A"/>
    <w:rsid w:val="00ED4713"/>
    <w:rsid w:val="00EF23CA"/>
    <w:rsid w:val="00F6344D"/>
    <w:rsid w:val="01037872"/>
    <w:rsid w:val="01385ED3"/>
    <w:rsid w:val="01A07BB0"/>
    <w:rsid w:val="02581C08"/>
    <w:rsid w:val="02AC07F4"/>
    <w:rsid w:val="03CF1205"/>
    <w:rsid w:val="04563C9A"/>
    <w:rsid w:val="049123BC"/>
    <w:rsid w:val="07440E5F"/>
    <w:rsid w:val="079D44F6"/>
    <w:rsid w:val="0A4A56C2"/>
    <w:rsid w:val="0EDC11A7"/>
    <w:rsid w:val="10786AD4"/>
    <w:rsid w:val="14C50CFC"/>
    <w:rsid w:val="14F543DF"/>
    <w:rsid w:val="15500DCE"/>
    <w:rsid w:val="18C10C1F"/>
    <w:rsid w:val="1A8B2EF9"/>
    <w:rsid w:val="1AA74927"/>
    <w:rsid w:val="1BC01E93"/>
    <w:rsid w:val="1D986984"/>
    <w:rsid w:val="1E2A06AB"/>
    <w:rsid w:val="1E343E82"/>
    <w:rsid w:val="1F3F7436"/>
    <w:rsid w:val="1F7234E6"/>
    <w:rsid w:val="207A73AC"/>
    <w:rsid w:val="20CA6C3B"/>
    <w:rsid w:val="20F35A9E"/>
    <w:rsid w:val="21361830"/>
    <w:rsid w:val="21374CD0"/>
    <w:rsid w:val="24E67462"/>
    <w:rsid w:val="261B60DD"/>
    <w:rsid w:val="265D38E3"/>
    <w:rsid w:val="289F56FF"/>
    <w:rsid w:val="28AE7452"/>
    <w:rsid w:val="2CBA050A"/>
    <w:rsid w:val="2D2D6A11"/>
    <w:rsid w:val="2E7510F1"/>
    <w:rsid w:val="2EB37D9B"/>
    <w:rsid w:val="309C4F79"/>
    <w:rsid w:val="31596C86"/>
    <w:rsid w:val="323C48A5"/>
    <w:rsid w:val="35DE4218"/>
    <w:rsid w:val="3B0B73C5"/>
    <w:rsid w:val="3BC56320"/>
    <w:rsid w:val="3C182916"/>
    <w:rsid w:val="3C31761D"/>
    <w:rsid w:val="3C587235"/>
    <w:rsid w:val="3C620C59"/>
    <w:rsid w:val="3C751ABD"/>
    <w:rsid w:val="3CB70AA8"/>
    <w:rsid w:val="3E1706C6"/>
    <w:rsid w:val="3E2317B7"/>
    <w:rsid w:val="3F352408"/>
    <w:rsid w:val="3FF15F9F"/>
    <w:rsid w:val="40EE6A0F"/>
    <w:rsid w:val="414D798F"/>
    <w:rsid w:val="41591324"/>
    <w:rsid w:val="41965E5A"/>
    <w:rsid w:val="41AB3C26"/>
    <w:rsid w:val="4250292B"/>
    <w:rsid w:val="448A115D"/>
    <w:rsid w:val="45592482"/>
    <w:rsid w:val="45C5279C"/>
    <w:rsid w:val="46CD560B"/>
    <w:rsid w:val="473C147F"/>
    <w:rsid w:val="475336C6"/>
    <w:rsid w:val="48445BF2"/>
    <w:rsid w:val="488937B4"/>
    <w:rsid w:val="4AEB6A75"/>
    <w:rsid w:val="4EA72D07"/>
    <w:rsid w:val="4F0A2E1F"/>
    <w:rsid w:val="4F6A1793"/>
    <w:rsid w:val="501530B6"/>
    <w:rsid w:val="50556C9A"/>
    <w:rsid w:val="50C052D9"/>
    <w:rsid w:val="542C73C1"/>
    <w:rsid w:val="568F0733"/>
    <w:rsid w:val="569754FC"/>
    <w:rsid w:val="590F7FCA"/>
    <w:rsid w:val="59107A94"/>
    <w:rsid w:val="596D7A8E"/>
    <w:rsid w:val="5DA039A3"/>
    <w:rsid w:val="5EC55333"/>
    <w:rsid w:val="5F4E29CA"/>
    <w:rsid w:val="610954EF"/>
    <w:rsid w:val="61A35E98"/>
    <w:rsid w:val="627D6B5E"/>
    <w:rsid w:val="64D62FAD"/>
    <w:rsid w:val="655C121C"/>
    <w:rsid w:val="65A32C59"/>
    <w:rsid w:val="667E2026"/>
    <w:rsid w:val="69475301"/>
    <w:rsid w:val="6B012260"/>
    <w:rsid w:val="6B9779F3"/>
    <w:rsid w:val="6E054DCB"/>
    <w:rsid w:val="71203116"/>
    <w:rsid w:val="739B47F8"/>
    <w:rsid w:val="7487790B"/>
    <w:rsid w:val="775F23EB"/>
    <w:rsid w:val="77D84854"/>
    <w:rsid w:val="79251BB7"/>
    <w:rsid w:val="7C6D071B"/>
    <w:rsid w:val="7C7A4841"/>
    <w:rsid w:val="7D4300D8"/>
    <w:rsid w:val="7D8A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42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autoRedefine/>
    <w:qFormat/>
    <w:uiPriority w:val="0"/>
    <w:pPr>
      <w:keepNext/>
      <w:keepLines/>
      <w:spacing w:before="210" w:after="210" w:line="576" w:lineRule="auto"/>
      <w:ind w:firstLine="0" w:firstLineChars="0"/>
      <w:jc w:val="center"/>
      <w:outlineLvl w:val="0"/>
    </w:pPr>
    <w:rPr>
      <w:b/>
      <w:kern w:val="44"/>
      <w:sz w:val="36"/>
      <w:szCs w:val="32"/>
    </w:rPr>
  </w:style>
  <w:style w:type="paragraph" w:styleId="3">
    <w:name w:val="heading 2"/>
    <w:basedOn w:val="1"/>
    <w:next w:val="1"/>
    <w:link w:val="20"/>
    <w:unhideWhenUsed/>
    <w:qFormat/>
    <w:uiPriority w:val="0"/>
    <w:pPr>
      <w:keepNext/>
      <w:keepLines/>
      <w:spacing w:before="210" w:after="210" w:line="420" w:lineRule="auto"/>
      <w:ind w:firstLine="0" w:firstLineChars="0"/>
      <w:jc w:val="center"/>
      <w:outlineLvl w:val="1"/>
    </w:pPr>
    <w:rPr>
      <w:b/>
      <w:sz w:val="32"/>
    </w:rPr>
  </w:style>
  <w:style w:type="paragraph" w:styleId="4">
    <w:name w:val="heading 3"/>
    <w:basedOn w:val="1"/>
    <w:next w:val="1"/>
    <w:unhideWhenUsed/>
    <w:qFormat/>
    <w:uiPriority w:val="0"/>
    <w:pPr>
      <w:keepNext/>
      <w:keepLines/>
      <w:spacing w:before="140" w:after="140"/>
      <w:ind w:firstLine="640"/>
      <w:outlineLvl w:val="2"/>
    </w:pPr>
    <w:rPr>
      <w:b/>
      <w:sz w:val="30"/>
    </w:rPr>
  </w:style>
  <w:style w:type="paragraph" w:styleId="5">
    <w:name w:val="heading 4"/>
    <w:basedOn w:val="1"/>
    <w:next w:val="1"/>
    <w:unhideWhenUsed/>
    <w:qFormat/>
    <w:uiPriority w:val="0"/>
    <w:pPr>
      <w:keepNext/>
      <w:keepLines/>
      <w:spacing w:before="40" w:after="40" w:line="360" w:lineRule="auto"/>
      <w:outlineLvl w:val="3"/>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Body Text Indent 2"/>
    <w:basedOn w:val="1"/>
    <w:qFormat/>
    <w:uiPriority w:val="99"/>
    <w:pPr>
      <w:spacing w:after="120"/>
      <w:ind w:left="420" w:leftChars="200"/>
    </w:pPr>
  </w:style>
  <w:style w:type="paragraph" w:styleId="10">
    <w:name w:val="Balloon Text"/>
    <w:basedOn w:val="1"/>
    <w:link w:val="28"/>
    <w:uiPriority w:val="0"/>
    <w:pPr>
      <w:spacing w:line="240" w:lineRule="auto"/>
    </w:pPr>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2"/>
    <w:basedOn w:val="8"/>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标题 2 Char"/>
    <w:link w:val="3"/>
    <w:qFormat/>
    <w:uiPriority w:val="0"/>
    <w:rPr>
      <w:rFonts w:ascii="Times New Roman" w:hAnsi="Times New Roman" w:eastAsia="仿宋"/>
      <w:b/>
      <w:sz w:val="32"/>
    </w:rPr>
  </w:style>
  <w:style w:type="paragraph" w:customStyle="1" w:styleId="21">
    <w:name w:val="_Style 2"/>
    <w:basedOn w:val="1"/>
    <w:qFormat/>
    <w:uiPriority w:val="99"/>
    <w:pPr>
      <w:spacing w:line="351" w:lineRule="atLeast"/>
      <w:ind w:firstLine="623"/>
      <w:textAlignment w:val="baseline"/>
    </w:pPr>
    <w:rPr>
      <w:rFonts w:eastAsia="仿宋_GB2312"/>
      <w:color w:val="000000"/>
      <w:sz w:val="31"/>
      <w:szCs w:val="31"/>
    </w:rPr>
  </w:style>
  <w:style w:type="paragraph" w:customStyle="1" w:styleId="22">
    <w:name w:val="y3"/>
    <w:basedOn w:val="7"/>
    <w:qFormat/>
    <w:uiPriority w:val="0"/>
    <w:pPr>
      <w:tabs>
        <w:tab w:val="left" w:pos="900"/>
      </w:tabs>
      <w:spacing w:before="50" w:beforeLines="50" w:after="0" w:line="420" w:lineRule="auto"/>
      <w:jc w:val="left"/>
      <w:outlineLvl w:val="2"/>
    </w:pPr>
    <w:rPr>
      <w:rFonts w:eastAsia="楷体_GB2312"/>
      <w:b/>
    </w:rPr>
  </w:style>
  <w:style w:type="paragraph" w:styleId="23">
    <w:name w:val="List Paragraph"/>
    <w:basedOn w:val="1"/>
    <w:qFormat/>
    <w:uiPriority w:val="34"/>
  </w:style>
  <w:style w:type="paragraph" w:customStyle="1" w:styleId="24">
    <w:name w:val="正文001"/>
    <w:basedOn w:val="1"/>
    <w:qFormat/>
    <w:uiPriority w:val="99"/>
    <w:pPr>
      <w:spacing w:before="60" w:line="460" w:lineRule="exact"/>
      <w:ind w:firstLine="200"/>
    </w:pPr>
    <w:rPr>
      <w:rFonts w:ascii="Arial" w:hAnsi="Arial"/>
      <w:sz w:val="24"/>
      <w:szCs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正文格式"/>
    <w:basedOn w:val="1"/>
    <w:qFormat/>
    <w:uiPriority w:val="0"/>
    <w:pPr>
      <w:overflowPunct w:val="0"/>
      <w:ind w:firstLine="560"/>
    </w:pPr>
    <w:rPr>
      <w:rFonts w:eastAsia="仿宋_GB2312"/>
      <w:kern w:val="0"/>
      <w:szCs w:val="28"/>
    </w:rPr>
  </w:style>
  <w:style w:type="character" w:customStyle="1" w:styleId="28">
    <w:name w:val="批注框文本 Char"/>
    <w:basedOn w:val="19"/>
    <w:link w:val="10"/>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85</Pages>
  <Words>4560</Words>
  <Characters>4723</Characters>
  <Lines>342</Lines>
  <Paragraphs>96</Paragraphs>
  <TotalTime>0</TotalTime>
  <ScaleCrop>false</ScaleCrop>
  <LinksUpToDate>false</LinksUpToDate>
  <CharactersWithSpaces>4898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2022-08-29T06:55:00Z</dcterms:created>
  <dc:creator>ZDD</dc:creator>
  <cp:lastModifiedBy>WPS_1586412888</cp:lastModifiedBy>
  <cp:lastPrinted>2022-08-29T08:18:00Z</cp:lastPrinted>
  <dcterms:modified xsi:type="dcterms:W3CDTF">2025-10-27T07:34:33Z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223EC85314D44CAFA70D4EB4BDEA91A6_13</vt:lpwstr>
  </property>
  <property fmtid="{D5CDD505-2E9C-101B-9397-08002B2CF9AE}" pid="4" name="KSOTemplateDocerSaveRecord">
    <vt:lpwstr>eyJoZGlkIjoiNWRmOTMwZjAxNGExODAxNjBmNmEzMzFjMDZlZTE3ODEiLCJ1c2VySWQiOiI5NDQzMjk3MTIifQ==</vt:lpwstr>
  </property>
</Properties>
</file>