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73836">
      <w:pPr>
        <w:jc w:val="center"/>
        <w:rPr>
          <w:rFonts w:hint="eastAsia" w:asciiTheme="majorEastAsia" w:hAnsiTheme="majorEastAsia" w:eastAsiaTheme="majorEastAsia" w:cstheme="majorEastAsia"/>
          <w:b/>
          <w:sz w:val="36"/>
          <w:szCs w:val="36"/>
        </w:rPr>
      </w:pPr>
      <w:r>
        <w:rPr>
          <w:rFonts w:hint="eastAsia" w:asciiTheme="majorEastAsia" w:hAnsiTheme="majorEastAsia" w:eastAsiaTheme="majorEastAsia" w:cstheme="majorEastAsia"/>
          <w:b/>
          <w:sz w:val="36"/>
          <w:szCs w:val="36"/>
        </w:rPr>
        <w:t>砀山县看守所2024</w:t>
      </w:r>
      <w:r>
        <w:rPr>
          <w:rFonts w:hint="eastAsia" w:asciiTheme="majorEastAsia" w:hAnsiTheme="majorEastAsia" w:eastAsiaTheme="majorEastAsia" w:cstheme="majorEastAsia"/>
          <w:b/>
          <w:sz w:val="36"/>
          <w:szCs w:val="36"/>
        </w:rPr>
        <w:t>年</w:t>
      </w:r>
      <w:r>
        <w:rPr>
          <w:rFonts w:hint="eastAsia" w:asciiTheme="majorEastAsia" w:hAnsiTheme="majorEastAsia" w:eastAsiaTheme="majorEastAsia" w:cstheme="majorEastAsia"/>
          <w:b/>
          <w:sz w:val="36"/>
          <w:szCs w:val="36"/>
        </w:rPr>
        <w:t>度一般公共预算财政拨款</w:t>
      </w:r>
    </w:p>
    <w:p w14:paraId="6BC57FCE">
      <w:pPr>
        <w:jc w:val="center"/>
        <w:rPr>
          <w:rFonts w:hint="eastAsia" w:asciiTheme="majorEastAsia" w:hAnsiTheme="majorEastAsia" w:eastAsiaTheme="majorEastAsia" w:cstheme="majorEastAsia"/>
          <w:b/>
          <w:sz w:val="36"/>
          <w:szCs w:val="36"/>
        </w:rPr>
      </w:pPr>
      <w:r>
        <w:rPr>
          <w:rFonts w:hint="eastAsia" w:asciiTheme="majorEastAsia" w:hAnsiTheme="majorEastAsia" w:eastAsiaTheme="majorEastAsia" w:cstheme="majorEastAsia"/>
          <w:b/>
          <w:sz w:val="36"/>
          <w:szCs w:val="36"/>
        </w:rPr>
        <w:t>“三公</w:t>
      </w:r>
      <w:r>
        <w:rPr>
          <w:rFonts w:hint="eastAsia" w:asciiTheme="majorEastAsia" w:hAnsiTheme="majorEastAsia" w:eastAsiaTheme="majorEastAsia" w:cstheme="majorEastAsia"/>
          <w:b/>
          <w:sz w:val="36"/>
          <w:szCs w:val="36"/>
        </w:rPr>
        <w:t>”</w:t>
      </w:r>
      <w:r>
        <w:rPr>
          <w:rFonts w:hint="eastAsia" w:asciiTheme="majorEastAsia" w:hAnsiTheme="majorEastAsia" w:eastAsiaTheme="majorEastAsia" w:cstheme="majorEastAsia"/>
          <w:b/>
          <w:sz w:val="36"/>
          <w:szCs w:val="36"/>
        </w:rPr>
        <w:t>经费</w:t>
      </w:r>
      <w:r>
        <w:rPr>
          <w:rFonts w:hint="eastAsia" w:asciiTheme="majorEastAsia" w:hAnsiTheme="majorEastAsia" w:eastAsiaTheme="majorEastAsia" w:cstheme="majorEastAsia"/>
          <w:b/>
          <w:sz w:val="36"/>
          <w:szCs w:val="36"/>
        </w:rPr>
        <w:t>支出决算</w:t>
      </w:r>
    </w:p>
    <w:p w14:paraId="6BCA58B9">
      <w:pPr>
        <w:jc w:val="center"/>
        <w:rPr>
          <w:rFonts w:ascii="楷体_GB2312" w:eastAsia="楷体_GB2312"/>
          <w:szCs w:val="32"/>
        </w:rPr>
      </w:pPr>
    </w:p>
    <w:p w14:paraId="452B173F">
      <w:pPr>
        <w:ind w:firstLine="627"/>
        <w:rPr>
          <w:rFonts w:ascii="黑体" w:hAnsi="黑体" w:eastAsia="黑体"/>
          <w:szCs w:val="32"/>
        </w:rPr>
      </w:pPr>
      <w:r>
        <w:rPr>
          <w:rFonts w:hint="eastAsia" w:ascii="黑体" w:hAnsi="黑体" w:eastAsia="黑体"/>
          <w:szCs w:val="32"/>
        </w:rPr>
        <w:t>一、2024年度一般公共预算财政拨款“三公”经费支出决算表</w:t>
      </w:r>
    </w:p>
    <w:tbl>
      <w:tblPr>
        <w:tblStyle w:val="4"/>
        <w:tblW w:w="8817" w:type="dxa"/>
        <w:tblInd w:w="0" w:type="dxa"/>
        <w:tblLayout w:type="fixed"/>
        <w:tblCellMar>
          <w:top w:w="0" w:type="dxa"/>
          <w:left w:w="0" w:type="dxa"/>
          <w:bottom w:w="0" w:type="dxa"/>
          <w:right w:w="0" w:type="dxa"/>
        </w:tblCellMar>
      </w:tblPr>
      <w:tblGrid>
        <w:gridCol w:w="597"/>
        <w:gridCol w:w="792"/>
        <w:gridCol w:w="588"/>
        <w:gridCol w:w="744"/>
        <w:gridCol w:w="960"/>
        <w:gridCol w:w="636"/>
        <w:gridCol w:w="600"/>
        <w:gridCol w:w="816"/>
        <w:gridCol w:w="696"/>
        <w:gridCol w:w="840"/>
        <w:gridCol w:w="936"/>
        <w:gridCol w:w="612"/>
      </w:tblGrid>
      <w:tr w14:paraId="1D5AB644">
        <w:tblPrEx>
          <w:tblCellMar>
            <w:top w:w="0" w:type="dxa"/>
            <w:left w:w="0" w:type="dxa"/>
            <w:bottom w:w="0" w:type="dxa"/>
            <w:right w:w="0" w:type="dxa"/>
          </w:tblCellMar>
        </w:tblPrEx>
        <w:trPr>
          <w:trHeight w:val="290" w:hRule="atLeast"/>
        </w:trPr>
        <w:tc>
          <w:tcPr>
            <w:tcW w:w="597" w:type="dxa"/>
            <w:tcBorders>
              <w:top w:val="nil"/>
              <w:left w:val="nil"/>
              <w:bottom w:val="nil"/>
              <w:right w:val="nil"/>
            </w:tcBorders>
            <w:shd w:val="clear" w:color="auto" w:fill="FFFFFF"/>
            <w:noWrap/>
            <w:tcMar>
              <w:top w:w="12" w:type="dxa"/>
              <w:left w:w="12" w:type="dxa"/>
              <w:right w:w="12" w:type="dxa"/>
            </w:tcMar>
            <w:vAlign w:val="center"/>
          </w:tcPr>
          <w:p w14:paraId="30C0A60A">
            <w:pPr>
              <w:widowControl/>
              <w:jc w:val="left"/>
              <w:textAlignment w:val="center"/>
              <w:rPr>
                <w:rFonts w:ascii="宋体" w:hAnsi="宋体" w:eastAsia="宋体" w:cs="宋体"/>
                <w:color w:val="000000"/>
                <w:sz w:val="20"/>
              </w:rPr>
            </w:pPr>
          </w:p>
        </w:tc>
        <w:tc>
          <w:tcPr>
            <w:tcW w:w="792" w:type="dxa"/>
            <w:tcBorders>
              <w:top w:val="nil"/>
              <w:left w:val="nil"/>
              <w:bottom w:val="nil"/>
              <w:right w:val="nil"/>
            </w:tcBorders>
            <w:shd w:val="clear" w:color="auto" w:fill="FFFFFF"/>
            <w:tcMar>
              <w:top w:w="12" w:type="dxa"/>
              <w:left w:w="12" w:type="dxa"/>
              <w:right w:w="12" w:type="dxa"/>
            </w:tcMar>
            <w:vAlign w:val="center"/>
          </w:tcPr>
          <w:p w14:paraId="4BEC4E51">
            <w:pPr>
              <w:rPr>
                <w:rFonts w:ascii="宋体" w:hAnsi="宋体" w:eastAsia="宋体" w:cs="宋体"/>
                <w:color w:val="000000"/>
                <w:sz w:val="20"/>
              </w:rPr>
            </w:pPr>
          </w:p>
        </w:tc>
        <w:tc>
          <w:tcPr>
            <w:tcW w:w="588" w:type="dxa"/>
            <w:tcBorders>
              <w:top w:val="nil"/>
              <w:left w:val="nil"/>
              <w:bottom w:val="nil"/>
              <w:right w:val="nil"/>
            </w:tcBorders>
            <w:shd w:val="clear" w:color="auto" w:fill="FFFFFF"/>
            <w:tcMar>
              <w:top w:w="12" w:type="dxa"/>
              <w:left w:w="12" w:type="dxa"/>
              <w:right w:w="12" w:type="dxa"/>
            </w:tcMar>
            <w:vAlign w:val="center"/>
          </w:tcPr>
          <w:p w14:paraId="6E6DB885">
            <w:pPr>
              <w:rPr>
                <w:rFonts w:ascii="宋体" w:hAnsi="宋体" w:eastAsia="宋体" w:cs="宋体"/>
                <w:color w:val="000000"/>
                <w:sz w:val="20"/>
              </w:rPr>
            </w:pPr>
          </w:p>
        </w:tc>
        <w:tc>
          <w:tcPr>
            <w:tcW w:w="744" w:type="dxa"/>
            <w:tcBorders>
              <w:top w:val="nil"/>
              <w:left w:val="nil"/>
              <w:bottom w:val="nil"/>
              <w:right w:val="nil"/>
            </w:tcBorders>
            <w:shd w:val="clear" w:color="auto" w:fill="FFFFFF"/>
            <w:tcMar>
              <w:top w:w="12" w:type="dxa"/>
              <w:left w:w="12" w:type="dxa"/>
              <w:right w:w="12" w:type="dxa"/>
            </w:tcMar>
            <w:vAlign w:val="center"/>
          </w:tcPr>
          <w:p w14:paraId="3ECE18B2">
            <w:pPr>
              <w:rPr>
                <w:rFonts w:ascii="宋体" w:hAnsi="宋体" w:eastAsia="宋体" w:cs="宋体"/>
                <w:color w:val="000000"/>
                <w:sz w:val="20"/>
              </w:rPr>
            </w:pPr>
          </w:p>
        </w:tc>
        <w:tc>
          <w:tcPr>
            <w:tcW w:w="960" w:type="dxa"/>
            <w:tcBorders>
              <w:top w:val="nil"/>
              <w:left w:val="nil"/>
              <w:bottom w:val="nil"/>
              <w:right w:val="nil"/>
            </w:tcBorders>
            <w:shd w:val="clear" w:color="auto" w:fill="FFFFFF"/>
            <w:tcMar>
              <w:top w:w="12" w:type="dxa"/>
              <w:left w:w="12" w:type="dxa"/>
              <w:right w:w="12" w:type="dxa"/>
            </w:tcMar>
            <w:vAlign w:val="center"/>
          </w:tcPr>
          <w:p w14:paraId="0232F90D">
            <w:pPr>
              <w:rPr>
                <w:rFonts w:ascii="宋体" w:hAnsi="宋体" w:eastAsia="宋体" w:cs="宋体"/>
                <w:color w:val="000000"/>
                <w:sz w:val="20"/>
              </w:rPr>
            </w:pPr>
          </w:p>
        </w:tc>
        <w:tc>
          <w:tcPr>
            <w:tcW w:w="636" w:type="dxa"/>
            <w:tcBorders>
              <w:top w:val="nil"/>
              <w:left w:val="nil"/>
              <w:bottom w:val="nil"/>
              <w:right w:val="nil"/>
            </w:tcBorders>
            <w:shd w:val="clear" w:color="auto" w:fill="FFFFFF"/>
            <w:tcMar>
              <w:top w:w="12" w:type="dxa"/>
              <w:left w:w="12" w:type="dxa"/>
              <w:right w:w="12" w:type="dxa"/>
            </w:tcMar>
            <w:vAlign w:val="center"/>
          </w:tcPr>
          <w:p w14:paraId="05C0A411">
            <w:pPr>
              <w:rPr>
                <w:rFonts w:ascii="宋体" w:hAnsi="宋体" w:eastAsia="宋体" w:cs="宋体"/>
                <w:color w:val="000000"/>
                <w:sz w:val="20"/>
              </w:rPr>
            </w:pPr>
          </w:p>
        </w:tc>
        <w:tc>
          <w:tcPr>
            <w:tcW w:w="600" w:type="dxa"/>
            <w:tcBorders>
              <w:top w:val="nil"/>
              <w:left w:val="nil"/>
              <w:bottom w:val="nil"/>
              <w:right w:val="nil"/>
            </w:tcBorders>
            <w:shd w:val="clear" w:color="auto" w:fill="FFFFFF"/>
            <w:tcMar>
              <w:top w:w="12" w:type="dxa"/>
              <w:left w:w="12" w:type="dxa"/>
              <w:right w:w="12" w:type="dxa"/>
            </w:tcMar>
            <w:vAlign w:val="center"/>
          </w:tcPr>
          <w:p w14:paraId="1ED597A0">
            <w:pPr>
              <w:rPr>
                <w:rFonts w:ascii="宋体" w:hAnsi="宋体" w:eastAsia="宋体" w:cs="宋体"/>
                <w:color w:val="000000"/>
                <w:sz w:val="20"/>
              </w:rPr>
            </w:pPr>
          </w:p>
        </w:tc>
        <w:tc>
          <w:tcPr>
            <w:tcW w:w="816" w:type="dxa"/>
            <w:tcBorders>
              <w:top w:val="nil"/>
              <w:left w:val="nil"/>
              <w:bottom w:val="nil"/>
              <w:right w:val="nil"/>
            </w:tcBorders>
            <w:shd w:val="clear" w:color="auto" w:fill="FFFFFF"/>
            <w:tcMar>
              <w:top w:w="12" w:type="dxa"/>
              <w:left w:w="12" w:type="dxa"/>
              <w:right w:w="12" w:type="dxa"/>
            </w:tcMar>
            <w:vAlign w:val="center"/>
          </w:tcPr>
          <w:p w14:paraId="56096A7C">
            <w:pPr>
              <w:rPr>
                <w:rFonts w:ascii="宋体" w:hAnsi="宋体" w:eastAsia="宋体" w:cs="宋体"/>
                <w:color w:val="000000"/>
                <w:sz w:val="20"/>
              </w:rPr>
            </w:pPr>
          </w:p>
        </w:tc>
        <w:tc>
          <w:tcPr>
            <w:tcW w:w="696" w:type="dxa"/>
            <w:tcBorders>
              <w:top w:val="nil"/>
              <w:left w:val="nil"/>
              <w:bottom w:val="nil"/>
              <w:right w:val="nil"/>
            </w:tcBorders>
            <w:shd w:val="clear" w:color="auto" w:fill="FFFFFF"/>
            <w:tcMar>
              <w:top w:w="12" w:type="dxa"/>
              <w:left w:w="12" w:type="dxa"/>
              <w:right w:w="12" w:type="dxa"/>
            </w:tcMar>
            <w:vAlign w:val="center"/>
          </w:tcPr>
          <w:p w14:paraId="37FBBAED">
            <w:pPr>
              <w:rPr>
                <w:rFonts w:ascii="宋体" w:hAnsi="宋体" w:eastAsia="宋体" w:cs="宋体"/>
                <w:color w:val="000000"/>
                <w:sz w:val="20"/>
              </w:rPr>
            </w:pPr>
          </w:p>
        </w:tc>
        <w:tc>
          <w:tcPr>
            <w:tcW w:w="840" w:type="dxa"/>
            <w:tcBorders>
              <w:top w:val="nil"/>
              <w:left w:val="nil"/>
              <w:bottom w:val="nil"/>
              <w:right w:val="nil"/>
            </w:tcBorders>
            <w:shd w:val="clear" w:color="auto" w:fill="FFFFFF"/>
            <w:tcMar>
              <w:top w:w="12" w:type="dxa"/>
              <w:left w:w="12" w:type="dxa"/>
              <w:right w:w="12" w:type="dxa"/>
            </w:tcMar>
            <w:vAlign w:val="center"/>
          </w:tcPr>
          <w:p w14:paraId="09B0D08F">
            <w:pPr>
              <w:rPr>
                <w:rFonts w:ascii="宋体" w:hAnsi="宋体" w:eastAsia="宋体" w:cs="宋体"/>
                <w:color w:val="000000"/>
                <w:sz w:val="20"/>
              </w:rPr>
            </w:pPr>
          </w:p>
        </w:tc>
        <w:tc>
          <w:tcPr>
            <w:tcW w:w="1548" w:type="dxa"/>
            <w:gridSpan w:val="2"/>
            <w:tcBorders>
              <w:top w:val="nil"/>
              <w:left w:val="nil"/>
              <w:bottom w:val="nil"/>
              <w:right w:val="nil"/>
            </w:tcBorders>
            <w:shd w:val="clear" w:color="auto" w:fill="FFFFFF"/>
            <w:tcMar>
              <w:top w:w="12" w:type="dxa"/>
              <w:left w:w="12" w:type="dxa"/>
              <w:right w:w="12" w:type="dxa"/>
            </w:tcMar>
            <w:vAlign w:val="center"/>
          </w:tcPr>
          <w:p w14:paraId="7D42B82F">
            <w:pPr>
              <w:widowControl/>
              <w:jc w:val="right"/>
              <w:textAlignment w:val="center"/>
              <w:rPr>
                <w:rFonts w:ascii="宋体" w:hAnsi="宋体" w:eastAsia="宋体" w:cs="宋体"/>
                <w:color w:val="000000"/>
                <w:sz w:val="20"/>
              </w:rPr>
            </w:pPr>
            <w:r>
              <w:rPr>
                <w:rFonts w:hint="eastAsia" w:ascii="宋体" w:hAnsi="宋体" w:eastAsia="宋体" w:cs="Arial"/>
                <w:color w:val="000000"/>
                <w:kern w:val="0"/>
                <w:sz w:val="22"/>
                <w:szCs w:val="22"/>
              </w:rPr>
              <w:t>金额单位</w:t>
            </w:r>
            <w:r>
              <w:rPr>
                <w:rFonts w:hint="eastAsia" w:ascii="宋体" w:hAnsi="宋体" w:eastAsia="宋体" w:cs="宋体"/>
                <w:color w:val="000000"/>
                <w:kern w:val="0"/>
                <w:sz w:val="20"/>
              </w:rPr>
              <w:t>：万元</w:t>
            </w:r>
          </w:p>
        </w:tc>
      </w:tr>
      <w:tr w14:paraId="74E5E449">
        <w:tblPrEx>
          <w:tblCellMar>
            <w:top w:w="0" w:type="dxa"/>
            <w:left w:w="0" w:type="dxa"/>
            <w:bottom w:w="0" w:type="dxa"/>
            <w:right w:w="0" w:type="dxa"/>
          </w:tblCellMar>
        </w:tblPrEx>
        <w:trPr>
          <w:trHeight w:val="540" w:hRule="atLeast"/>
        </w:trPr>
        <w:tc>
          <w:tcPr>
            <w:tcW w:w="4317" w:type="dxa"/>
            <w:gridSpan w:val="6"/>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F66F8A2">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预算数</w:t>
            </w:r>
          </w:p>
        </w:tc>
        <w:tc>
          <w:tcPr>
            <w:tcW w:w="4500" w:type="dxa"/>
            <w:gridSpan w:val="6"/>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E324C47">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决算数</w:t>
            </w:r>
          </w:p>
        </w:tc>
      </w:tr>
      <w:tr w14:paraId="368A0E17">
        <w:tblPrEx>
          <w:tblCellMar>
            <w:top w:w="0" w:type="dxa"/>
            <w:left w:w="0" w:type="dxa"/>
            <w:bottom w:w="0" w:type="dxa"/>
            <w:right w:w="0" w:type="dxa"/>
          </w:tblCellMar>
        </w:tblPrEx>
        <w:trPr>
          <w:trHeight w:val="578" w:hRule="atLeast"/>
        </w:trPr>
        <w:tc>
          <w:tcPr>
            <w:tcW w:w="597"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5FEA06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合计</w:t>
            </w:r>
          </w:p>
        </w:tc>
        <w:tc>
          <w:tcPr>
            <w:tcW w:w="79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E6AD6C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因公出国（境）费</w:t>
            </w:r>
          </w:p>
        </w:tc>
        <w:tc>
          <w:tcPr>
            <w:tcW w:w="2292"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3636F3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公务用车购置及运行维护费</w:t>
            </w:r>
          </w:p>
        </w:tc>
        <w:tc>
          <w:tcPr>
            <w:tcW w:w="63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61D99B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公务接待费</w:t>
            </w:r>
          </w:p>
        </w:tc>
        <w:tc>
          <w:tcPr>
            <w:tcW w:w="60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0E0BAA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合计</w:t>
            </w:r>
          </w:p>
        </w:tc>
        <w:tc>
          <w:tcPr>
            <w:tcW w:w="81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751C1D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因公出国（境）费</w:t>
            </w:r>
          </w:p>
        </w:tc>
        <w:tc>
          <w:tcPr>
            <w:tcW w:w="2472"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82610C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0"/>
              </w:rPr>
              <w:t>公务用车购置及运行维护费</w:t>
            </w:r>
          </w:p>
        </w:tc>
        <w:tc>
          <w:tcPr>
            <w:tcW w:w="61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B3AECF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公务接待费</w:t>
            </w:r>
          </w:p>
        </w:tc>
      </w:tr>
      <w:tr w14:paraId="4E609BBB">
        <w:tblPrEx>
          <w:tblCellMar>
            <w:top w:w="0" w:type="dxa"/>
            <w:left w:w="0" w:type="dxa"/>
            <w:bottom w:w="0" w:type="dxa"/>
            <w:right w:w="0" w:type="dxa"/>
          </w:tblCellMar>
        </w:tblPrEx>
        <w:trPr>
          <w:trHeight w:val="578" w:hRule="atLeast"/>
        </w:trPr>
        <w:tc>
          <w:tcPr>
            <w:tcW w:w="59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B0E08DD">
            <w:pPr>
              <w:jc w:val="center"/>
              <w:rPr>
                <w:rFonts w:ascii="宋体" w:hAnsi="宋体" w:eastAsia="宋体" w:cs="宋体"/>
                <w:color w:val="000000"/>
                <w:sz w:val="18"/>
                <w:szCs w:val="18"/>
              </w:rPr>
            </w:pPr>
          </w:p>
        </w:tc>
        <w:tc>
          <w:tcPr>
            <w:tcW w:w="79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38D1C5C">
            <w:pPr>
              <w:jc w:val="center"/>
              <w:rPr>
                <w:rFonts w:ascii="宋体" w:hAnsi="宋体" w:eastAsia="宋体" w:cs="宋体"/>
                <w:color w:val="000000"/>
                <w:sz w:val="18"/>
                <w:szCs w:val="18"/>
              </w:rPr>
            </w:pPr>
          </w:p>
        </w:tc>
        <w:tc>
          <w:tcPr>
            <w:tcW w:w="5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7911BD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小计</w:t>
            </w:r>
          </w:p>
        </w:tc>
        <w:tc>
          <w:tcPr>
            <w:tcW w:w="7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82DA09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公务用车购置费</w:t>
            </w:r>
          </w:p>
        </w:tc>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BBBE3F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公务用车运行维护费</w:t>
            </w:r>
          </w:p>
        </w:tc>
        <w:tc>
          <w:tcPr>
            <w:tcW w:w="63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72B1805">
            <w:pPr>
              <w:jc w:val="center"/>
              <w:rPr>
                <w:rFonts w:ascii="宋体" w:hAnsi="宋体" w:eastAsia="宋体" w:cs="宋体"/>
                <w:color w:val="000000"/>
                <w:sz w:val="18"/>
                <w:szCs w:val="18"/>
              </w:rPr>
            </w:pPr>
          </w:p>
        </w:tc>
        <w:tc>
          <w:tcPr>
            <w:tcW w:w="60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46DA9C3">
            <w:pPr>
              <w:jc w:val="center"/>
              <w:rPr>
                <w:rFonts w:ascii="宋体" w:hAnsi="宋体" w:eastAsia="宋体" w:cs="宋体"/>
                <w:color w:val="000000"/>
                <w:sz w:val="18"/>
                <w:szCs w:val="18"/>
              </w:rPr>
            </w:pPr>
          </w:p>
        </w:tc>
        <w:tc>
          <w:tcPr>
            <w:tcW w:w="81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82C6713">
            <w:pPr>
              <w:jc w:val="center"/>
              <w:rPr>
                <w:rFonts w:ascii="宋体" w:hAnsi="宋体" w:eastAsia="宋体" w:cs="宋体"/>
                <w:color w:val="000000"/>
                <w:sz w:val="18"/>
                <w:szCs w:val="18"/>
              </w:rPr>
            </w:pPr>
          </w:p>
        </w:tc>
        <w:tc>
          <w:tcPr>
            <w:tcW w:w="6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626917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小计</w:t>
            </w:r>
          </w:p>
        </w:tc>
        <w:tc>
          <w:tcPr>
            <w:tcW w:w="8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EB0EB6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公务用车购置费</w:t>
            </w:r>
          </w:p>
        </w:tc>
        <w:tc>
          <w:tcPr>
            <w:tcW w:w="9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7E4A55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公务用车运行维护费</w:t>
            </w:r>
          </w:p>
        </w:tc>
        <w:tc>
          <w:tcPr>
            <w:tcW w:w="6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74B7488">
            <w:pPr>
              <w:jc w:val="center"/>
              <w:rPr>
                <w:rFonts w:ascii="宋体" w:hAnsi="宋体" w:eastAsia="宋体" w:cs="宋体"/>
                <w:color w:val="000000"/>
                <w:sz w:val="18"/>
                <w:szCs w:val="18"/>
              </w:rPr>
            </w:pPr>
          </w:p>
        </w:tc>
      </w:tr>
      <w:tr w14:paraId="5E99DE4D">
        <w:tblPrEx>
          <w:tblCellMar>
            <w:top w:w="0" w:type="dxa"/>
            <w:left w:w="0" w:type="dxa"/>
            <w:bottom w:w="0" w:type="dxa"/>
            <w:right w:w="0" w:type="dxa"/>
          </w:tblCellMar>
        </w:tblPrEx>
        <w:trPr>
          <w:trHeight w:val="540" w:hRule="atLeast"/>
        </w:trPr>
        <w:tc>
          <w:tcPr>
            <w:tcW w:w="5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8595DBC">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1</w:t>
            </w:r>
          </w:p>
        </w:tc>
        <w:tc>
          <w:tcPr>
            <w:tcW w:w="7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DB6E4E0">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2</w:t>
            </w:r>
          </w:p>
        </w:tc>
        <w:tc>
          <w:tcPr>
            <w:tcW w:w="5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C291EF5">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3</w:t>
            </w:r>
          </w:p>
        </w:tc>
        <w:tc>
          <w:tcPr>
            <w:tcW w:w="7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7DB8F2D">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4</w:t>
            </w:r>
          </w:p>
        </w:tc>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E6AD2C3">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5</w:t>
            </w:r>
          </w:p>
        </w:tc>
        <w:tc>
          <w:tcPr>
            <w:tcW w:w="6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8B123AB">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6</w:t>
            </w:r>
          </w:p>
        </w:tc>
        <w:tc>
          <w:tcPr>
            <w:tcW w:w="6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48BB741">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7</w:t>
            </w:r>
          </w:p>
        </w:tc>
        <w:tc>
          <w:tcPr>
            <w:tcW w:w="8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D1F32A6">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8</w:t>
            </w:r>
          </w:p>
        </w:tc>
        <w:tc>
          <w:tcPr>
            <w:tcW w:w="6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AE151F7">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9</w:t>
            </w:r>
          </w:p>
        </w:tc>
        <w:tc>
          <w:tcPr>
            <w:tcW w:w="8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74BDB1E">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10</w:t>
            </w:r>
          </w:p>
        </w:tc>
        <w:tc>
          <w:tcPr>
            <w:tcW w:w="9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0A7DCFE">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11</w:t>
            </w:r>
          </w:p>
        </w:tc>
        <w:tc>
          <w:tcPr>
            <w:tcW w:w="6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1D40A47">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12</w:t>
            </w:r>
          </w:p>
        </w:tc>
      </w:tr>
      <w:tr w14:paraId="09017D90">
        <w:tblPrEx>
          <w:tblCellMar>
            <w:top w:w="0" w:type="dxa"/>
            <w:left w:w="0" w:type="dxa"/>
            <w:bottom w:w="0" w:type="dxa"/>
            <w:right w:w="0" w:type="dxa"/>
          </w:tblCellMar>
        </w:tblPrEx>
        <w:trPr>
          <w:trHeight w:val="414" w:hRule="atLeast"/>
        </w:trPr>
        <w:tc>
          <w:tcPr>
            <w:tcW w:w="5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D9F7A6D">
            <w:pPr>
              <w:jc w:val="center"/>
              <w:rPr>
                <w:rFonts w:ascii="宋体" w:hAnsi="宋体" w:eastAsia="宋体" w:cs="宋体"/>
                <w:color w:val="000000"/>
                <w:sz w:val="20"/>
              </w:rPr>
            </w:pPr>
            <w:bookmarkStart w:id="0" w:name="_GoBack" w:colFirst="0" w:colLast="11"/>
            <w:r>
              <w:rPr>
                <w:rFonts w:hint="eastAsia" w:ascii="宋体" w:hAnsi="宋体" w:eastAsia="宋体" w:cs="宋体"/>
                <w:color w:val="000000"/>
                <w:sz w:val="20"/>
              </w:rPr>
              <w:t>2．38</w:t>
            </w:r>
          </w:p>
        </w:tc>
        <w:tc>
          <w:tcPr>
            <w:tcW w:w="7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E406C50">
            <w:pPr>
              <w:jc w:val="center"/>
              <w:rPr>
                <w:rFonts w:ascii="宋体" w:hAnsi="宋体" w:eastAsia="宋体" w:cs="宋体"/>
                <w:color w:val="000000"/>
                <w:sz w:val="20"/>
              </w:rPr>
            </w:pPr>
          </w:p>
        </w:tc>
        <w:tc>
          <w:tcPr>
            <w:tcW w:w="5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909016D">
            <w:pPr>
              <w:jc w:val="center"/>
              <w:rPr>
                <w:rFonts w:ascii="宋体" w:hAnsi="宋体" w:eastAsia="宋体" w:cs="宋体"/>
                <w:color w:val="000000"/>
                <w:sz w:val="20"/>
              </w:rPr>
            </w:pPr>
            <w:r>
              <w:rPr>
                <w:rFonts w:hint="eastAsia" w:ascii="宋体" w:hAnsi="宋体" w:eastAsia="宋体" w:cs="宋体"/>
                <w:color w:val="000000"/>
                <w:sz w:val="20"/>
              </w:rPr>
              <w:t>2．38</w:t>
            </w:r>
          </w:p>
        </w:tc>
        <w:tc>
          <w:tcPr>
            <w:tcW w:w="7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19A741E">
            <w:pPr>
              <w:jc w:val="center"/>
              <w:rPr>
                <w:rFonts w:ascii="宋体" w:hAnsi="宋体" w:eastAsia="宋体" w:cs="宋体"/>
                <w:color w:val="000000"/>
                <w:sz w:val="20"/>
              </w:rPr>
            </w:pPr>
          </w:p>
        </w:tc>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60098D4">
            <w:pPr>
              <w:jc w:val="center"/>
              <w:rPr>
                <w:rFonts w:ascii="宋体" w:hAnsi="宋体" w:eastAsia="宋体" w:cs="宋体"/>
                <w:color w:val="000000"/>
                <w:sz w:val="20"/>
              </w:rPr>
            </w:pPr>
            <w:r>
              <w:rPr>
                <w:rFonts w:hint="eastAsia" w:ascii="宋体" w:hAnsi="宋体" w:eastAsia="宋体" w:cs="宋体"/>
                <w:color w:val="000000"/>
                <w:sz w:val="20"/>
              </w:rPr>
              <w:t>2．38</w:t>
            </w:r>
          </w:p>
        </w:tc>
        <w:tc>
          <w:tcPr>
            <w:tcW w:w="6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C452B2B">
            <w:pPr>
              <w:jc w:val="center"/>
              <w:rPr>
                <w:rFonts w:ascii="宋体" w:hAnsi="宋体" w:eastAsia="宋体" w:cs="宋体"/>
                <w:color w:val="000000"/>
                <w:sz w:val="20"/>
              </w:rPr>
            </w:pPr>
          </w:p>
        </w:tc>
        <w:tc>
          <w:tcPr>
            <w:tcW w:w="6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089462F">
            <w:pPr>
              <w:jc w:val="center"/>
              <w:rPr>
                <w:rFonts w:ascii="宋体" w:hAnsi="宋体" w:eastAsia="宋体" w:cs="宋体"/>
                <w:color w:val="000000"/>
                <w:sz w:val="20"/>
              </w:rPr>
            </w:pPr>
            <w:r>
              <w:rPr>
                <w:rFonts w:hint="eastAsia" w:ascii="宋体" w:hAnsi="宋体" w:eastAsia="宋体" w:cs="宋体"/>
                <w:color w:val="000000"/>
                <w:sz w:val="20"/>
              </w:rPr>
              <w:t>2．38</w:t>
            </w:r>
          </w:p>
        </w:tc>
        <w:tc>
          <w:tcPr>
            <w:tcW w:w="8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8EBF9F7">
            <w:pPr>
              <w:jc w:val="center"/>
              <w:rPr>
                <w:rFonts w:ascii="宋体" w:hAnsi="宋体" w:eastAsia="宋体" w:cs="宋体"/>
                <w:color w:val="000000"/>
                <w:sz w:val="20"/>
              </w:rPr>
            </w:pPr>
          </w:p>
        </w:tc>
        <w:tc>
          <w:tcPr>
            <w:tcW w:w="6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5174482">
            <w:pPr>
              <w:jc w:val="center"/>
              <w:rPr>
                <w:rFonts w:ascii="宋体" w:hAnsi="宋体" w:eastAsia="宋体" w:cs="宋体"/>
                <w:color w:val="000000"/>
                <w:sz w:val="20"/>
              </w:rPr>
            </w:pPr>
            <w:r>
              <w:rPr>
                <w:rFonts w:hint="eastAsia" w:ascii="宋体" w:hAnsi="宋体" w:eastAsia="宋体" w:cs="宋体"/>
                <w:color w:val="000000"/>
                <w:sz w:val="20"/>
              </w:rPr>
              <w:t>2．38</w:t>
            </w:r>
          </w:p>
        </w:tc>
        <w:tc>
          <w:tcPr>
            <w:tcW w:w="8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16950A5">
            <w:pPr>
              <w:jc w:val="center"/>
              <w:rPr>
                <w:rFonts w:ascii="宋体" w:hAnsi="宋体" w:eastAsia="宋体" w:cs="宋体"/>
                <w:color w:val="000000"/>
                <w:sz w:val="20"/>
              </w:rPr>
            </w:pPr>
          </w:p>
        </w:tc>
        <w:tc>
          <w:tcPr>
            <w:tcW w:w="9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B042460">
            <w:pPr>
              <w:jc w:val="center"/>
              <w:rPr>
                <w:rFonts w:ascii="宋体" w:hAnsi="宋体" w:eastAsia="宋体" w:cs="宋体"/>
                <w:color w:val="000000"/>
                <w:sz w:val="20"/>
              </w:rPr>
            </w:pPr>
            <w:r>
              <w:rPr>
                <w:rFonts w:hint="eastAsia" w:ascii="宋体" w:hAnsi="宋体" w:eastAsia="宋体" w:cs="宋体"/>
                <w:color w:val="000000"/>
                <w:sz w:val="20"/>
              </w:rPr>
              <w:t>2．38</w:t>
            </w:r>
          </w:p>
        </w:tc>
        <w:tc>
          <w:tcPr>
            <w:tcW w:w="6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AF6DC02">
            <w:pPr>
              <w:jc w:val="center"/>
              <w:rPr>
                <w:rFonts w:ascii="宋体" w:hAnsi="宋体" w:eastAsia="宋体" w:cs="宋体"/>
                <w:color w:val="000000"/>
                <w:sz w:val="20"/>
              </w:rPr>
            </w:pPr>
          </w:p>
        </w:tc>
      </w:tr>
      <w:bookmarkEnd w:id="0"/>
    </w:tbl>
    <w:p w14:paraId="470BE5D7">
      <w:pPr>
        <w:spacing w:line="300" w:lineRule="exact"/>
        <w:rPr>
          <w:rFonts w:ascii="黑体" w:hAnsi="黑体" w:eastAsia="黑体"/>
          <w:szCs w:val="32"/>
        </w:rPr>
      </w:pPr>
      <w:r>
        <w:rPr>
          <w:rFonts w:hint="eastAsia" w:ascii="仿宋_GB2312" w:hAnsi="仿宋"/>
          <w:sz w:val="21"/>
          <w:szCs w:val="21"/>
        </w:rPr>
        <w:t xml:space="preserve">注：本表反映单位本年度一般公共预算财政拨款“三公”经费支出预决算情况。其中，预算数为“三公”经费全年预算数，反映按规定程序调整后的预算数;决算数是包括当年一般公共预算财政拨款和以前年度结转资金安排的实际支出。 </w:t>
      </w:r>
      <w:r>
        <w:rPr>
          <w:rFonts w:hint="eastAsia" w:ascii="仿宋_GB2312" w:hAnsi="仿宋"/>
          <w:szCs w:val="32"/>
        </w:rPr>
        <w:t xml:space="preserve">  </w:t>
      </w:r>
      <w:r>
        <w:rPr>
          <w:rFonts w:hint="eastAsia" w:ascii="黑体" w:hAnsi="黑体" w:eastAsia="黑体"/>
          <w:szCs w:val="32"/>
        </w:rPr>
        <w:t xml:space="preserve">                                    </w:t>
      </w:r>
    </w:p>
    <w:p w14:paraId="5600BF42">
      <w:pPr>
        <w:rPr>
          <w:rFonts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rPr>
        <w:t>2024</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14:paraId="08D6CFC1">
      <w:pPr>
        <w:ind w:firstLine="628" w:firstLineChars="200"/>
        <w:rPr>
          <w:rFonts w:ascii="仿宋_GB2312" w:hAnsi="仿宋"/>
          <w:b/>
          <w:szCs w:val="32"/>
        </w:rPr>
      </w:pPr>
      <w:r>
        <w:rPr>
          <w:rFonts w:hint="eastAsia" w:ascii="仿宋_GB2312" w:hAnsi="仿宋"/>
          <w:b/>
          <w:szCs w:val="32"/>
        </w:rPr>
        <w:t>（一）一般公共预算财政拨款“三公”经费支出决算总体情况说明。</w:t>
      </w:r>
    </w:p>
    <w:p w14:paraId="0AC9E0E4">
      <w:pPr>
        <w:ind w:firstLine="628" w:firstLineChars="200"/>
        <w:rPr>
          <w:rFonts w:ascii="楷体_GB2312" w:hAnsi="仿宋" w:eastAsia="楷体_GB2312"/>
          <w:szCs w:val="32"/>
        </w:rPr>
      </w:pPr>
      <w:r>
        <w:rPr>
          <w:rFonts w:hint="eastAsia" w:ascii="仿宋_GB2312" w:hAnsi="仿宋"/>
          <w:szCs w:val="32"/>
        </w:rPr>
        <w:t>砀山县看守所2024年度一般公共预算财政拨款“三公”经费支出预算为2.38万元，支出决算为2.38万元，完成预算的100%，较上年增加0.</w:t>
      </w:r>
      <w:r>
        <w:rPr>
          <w:rFonts w:hint="eastAsia" w:ascii="仿宋_GB2312" w:hAnsi="仿宋"/>
          <w:szCs w:val="32"/>
          <w:lang w:val="en-US" w:eastAsia="zh-CN"/>
        </w:rPr>
        <w:t>7</w:t>
      </w:r>
      <w:r>
        <w:rPr>
          <w:rFonts w:hint="eastAsia" w:ascii="仿宋_GB2312" w:hAnsi="仿宋"/>
          <w:szCs w:val="32"/>
        </w:rPr>
        <w:t>万元，增长</w:t>
      </w:r>
      <w:r>
        <w:rPr>
          <w:rFonts w:hint="eastAsia" w:ascii="仿宋_GB2312" w:hAnsi="仿宋"/>
          <w:szCs w:val="32"/>
          <w:lang w:val="en-US" w:eastAsia="zh-CN"/>
        </w:rPr>
        <w:t>20.71</w:t>
      </w:r>
      <w:r>
        <w:rPr>
          <w:rFonts w:hint="eastAsia" w:ascii="仿宋_GB2312" w:hAnsi="仿宋"/>
          <w:szCs w:val="32"/>
        </w:rPr>
        <w:t>%。决算数较上年增加的主要原因是因较去年投送较多，车辆年数较长维修频率及更换件较多。</w:t>
      </w:r>
      <w:r>
        <w:rPr>
          <w:rFonts w:hint="eastAsia" w:ascii="仿宋_GB2312" w:hAnsi="仿宋"/>
          <w:b/>
          <w:bCs/>
          <w:szCs w:val="32"/>
        </w:rPr>
        <w:t xml:space="preserve"> </w:t>
      </w:r>
    </w:p>
    <w:p w14:paraId="13023F1F">
      <w:pPr>
        <w:ind w:firstLine="628" w:firstLineChars="200"/>
        <w:rPr>
          <w:rFonts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14:paraId="78B4D05C">
      <w:pPr>
        <w:ind w:firstLine="628" w:firstLineChars="200"/>
        <w:rPr>
          <w:rFonts w:ascii="仿宋_GB2312" w:hAnsi="仿宋"/>
          <w:szCs w:val="32"/>
        </w:rPr>
      </w:pPr>
      <w:r>
        <w:rPr>
          <w:rFonts w:hint="eastAsia" w:ascii="仿宋_GB2312" w:hAnsi="仿宋"/>
          <w:szCs w:val="32"/>
        </w:rPr>
        <w:t>砀山县看守所2024年度一般公共预算财政拨款“三公”经费支出决算中，因公出国（境）费支出决算0万元，占0%;公务接待费支出决算0万元，占0%；公务用车购置及运行维护费支出决算2.38万元，占100%。具体情况如下：</w:t>
      </w:r>
    </w:p>
    <w:p w14:paraId="7C6E8FF1">
      <w:pPr>
        <w:ind w:firstLine="628"/>
        <w:rPr>
          <w:rFonts w:ascii="仿宋_GB2312" w:hAnsi="仿宋"/>
          <w:szCs w:val="32"/>
        </w:rPr>
      </w:pPr>
      <w:r>
        <w:rPr>
          <w:rFonts w:hint="eastAsia" w:ascii="仿宋_GB2312" w:hAnsi="仿宋"/>
          <w:b/>
          <w:bCs/>
          <w:szCs w:val="32"/>
        </w:rPr>
        <w:t>1.因公出国（境）费</w:t>
      </w:r>
      <w:r>
        <w:rPr>
          <w:rFonts w:hint="eastAsia" w:ascii="仿宋_GB2312" w:hAnsi="仿宋"/>
          <w:szCs w:val="32"/>
        </w:rPr>
        <w:t>预算为0万元，支出决算为0万元，完成预算的0%</w:t>
      </w:r>
      <w:r>
        <w:rPr>
          <w:rFonts w:hint="eastAsia" w:ascii="仿宋_GB2312" w:hAnsi="仿宋"/>
          <w:szCs w:val="32"/>
          <w:lang w:eastAsia="zh-CN"/>
        </w:rPr>
        <w:t>，砀山县看守所</w:t>
      </w:r>
      <w:r>
        <w:rPr>
          <w:rFonts w:hint="eastAsia" w:ascii="仿宋_GB2312" w:hAnsi="仿宋"/>
          <w:szCs w:val="32"/>
          <w:lang w:val="en-US" w:eastAsia="zh-CN"/>
        </w:rPr>
        <w:t>2024年无因公出国（境）活动</w:t>
      </w:r>
      <w:r>
        <w:rPr>
          <w:rFonts w:hint="eastAsia" w:ascii="仿宋_GB2312" w:hAnsi="仿宋"/>
          <w:szCs w:val="32"/>
        </w:rPr>
        <w:t>。</w:t>
      </w:r>
    </w:p>
    <w:p w14:paraId="31D35AF7">
      <w:pPr>
        <w:ind w:firstLine="628" w:firstLineChars="200"/>
        <w:rPr>
          <w:rFonts w:ascii="仿宋_GB2312" w:hAnsi="仿宋"/>
          <w:color w:val="FF0000"/>
          <w:szCs w:val="32"/>
        </w:rPr>
      </w:pPr>
      <w:r>
        <w:rPr>
          <w:rFonts w:hint="eastAsia" w:ascii="仿宋_GB2312" w:hAnsi="仿宋"/>
          <w:b/>
          <w:bCs/>
          <w:szCs w:val="32"/>
        </w:rPr>
        <w:t>2.公务接待费</w:t>
      </w:r>
      <w:r>
        <w:rPr>
          <w:rFonts w:hint="eastAsia" w:ascii="仿宋_GB2312" w:hAnsi="仿宋"/>
          <w:szCs w:val="32"/>
        </w:rPr>
        <w:t>预算为0万元，支出决算为0万元，完成预算的0%。</w:t>
      </w:r>
    </w:p>
    <w:p w14:paraId="792BFC8F">
      <w:pPr>
        <w:ind w:firstLine="628" w:firstLineChars="200"/>
        <w:rPr>
          <w:rFonts w:ascii="仿宋_GB2312"/>
        </w:rPr>
      </w:pPr>
      <w:r>
        <w:rPr>
          <w:rFonts w:hint="eastAsia" w:ascii="仿宋_GB2312" w:hAnsi="仿宋"/>
          <w:b/>
          <w:bCs/>
          <w:szCs w:val="32"/>
        </w:rPr>
        <w:t>3.公务用车购置及运行维护费</w:t>
      </w:r>
      <w:r>
        <w:rPr>
          <w:rFonts w:hint="eastAsia" w:ascii="仿宋_GB2312" w:hAnsi="仿宋"/>
          <w:szCs w:val="32"/>
        </w:rPr>
        <w:t>预算为2.38万元，支出决算</w:t>
      </w:r>
      <w:r>
        <w:rPr>
          <w:rFonts w:hint="eastAsia" w:ascii="仿宋_GB2312" w:hAnsi="仿宋"/>
          <w:szCs w:val="32"/>
          <w:lang w:eastAsia="zh-CN"/>
        </w:rPr>
        <w:t>为</w:t>
      </w:r>
      <w:r>
        <w:rPr>
          <w:rFonts w:hint="eastAsia" w:ascii="仿宋_GB2312" w:hAnsi="仿宋"/>
          <w:szCs w:val="32"/>
        </w:rPr>
        <w:t>2.38万元，完成预算的100%；较上年增加0.7万元，增长</w:t>
      </w:r>
      <w:r>
        <w:rPr>
          <w:rFonts w:hint="eastAsia" w:ascii="仿宋_GB2312" w:hAnsi="仿宋"/>
          <w:szCs w:val="32"/>
          <w:lang w:val="en-US" w:eastAsia="zh-CN"/>
        </w:rPr>
        <w:t>20.71</w:t>
      </w:r>
      <w:r>
        <w:rPr>
          <w:rFonts w:hint="eastAsia" w:ascii="仿宋_GB2312" w:hAnsi="仿宋"/>
          <w:szCs w:val="32"/>
        </w:rPr>
        <w:t>%。决算数较上年增加的主要原因是因较去年投送较多，车辆年数较长维修频率及更换件较多。其中</w:t>
      </w:r>
      <w:r>
        <w:rPr>
          <w:rFonts w:hint="eastAsia" w:ascii="仿宋" w:hAnsi="仿宋" w:eastAsia="仿宋"/>
          <w:szCs w:val="32"/>
        </w:rPr>
        <w:t>2024年没有安排公务用车购置费。</w:t>
      </w:r>
      <w:r>
        <w:rPr>
          <w:rFonts w:hint="eastAsia" w:ascii="仿宋_GB2312" w:hAnsi="仿宋"/>
          <w:szCs w:val="32"/>
        </w:rPr>
        <w:t>公务用车运行维护费预算为2.38万元，支出决算为2.38万元，完成预算的100%；较上年增加0.7万元，增长</w:t>
      </w:r>
      <w:r>
        <w:rPr>
          <w:rFonts w:hint="eastAsia" w:ascii="仿宋_GB2312" w:hAnsi="仿宋"/>
          <w:szCs w:val="32"/>
          <w:lang w:val="en-US" w:eastAsia="zh-CN"/>
        </w:rPr>
        <w:t>20.71</w:t>
      </w:r>
      <w:r>
        <w:rPr>
          <w:rFonts w:hint="eastAsia" w:ascii="仿宋_GB2312" w:hAnsi="仿宋"/>
          <w:szCs w:val="32"/>
        </w:rPr>
        <w:t>%。决算数较上年增加的主要原因是因较去年投送较多，车辆年数较长维修频率及更换件较多。公务用车运行维护费</w:t>
      </w:r>
      <w:r>
        <w:rPr>
          <w:rFonts w:hint="eastAsia" w:ascii="仿宋_GB2312" w:hAnsi="仿宋"/>
          <w:szCs w:val="32"/>
          <w:lang w:eastAsia="zh-CN"/>
        </w:rPr>
        <w:t>主要</w:t>
      </w:r>
      <w:r>
        <w:rPr>
          <w:rFonts w:hint="eastAsia" w:ascii="仿宋_GB2312" w:hAnsi="仿宋"/>
          <w:szCs w:val="32"/>
        </w:rPr>
        <w:t>包括车辆燃料费、维修费、过路过桥费、保险费等支出，主要用于公务用车运行维护。截至2024年12月31日，砀山县看守所开支财政拨款的公务用车保有量为2辆。</w:t>
      </w:r>
    </w:p>
    <w:p w14:paraId="0A7DF449">
      <w:pPr>
        <w:pStyle w:val="2"/>
        <w:ind w:left="1258" w:hanging="1258"/>
        <w:jc w:val="both"/>
        <w:rPr>
          <w:rFonts w:ascii="仿宋_GB2312" w:eastAsia="仿宋_GB2312"/>
          <w:sz w:val="32"/>
        </w:rPr>
      </w:pPr>
    </w:p>
    <w:p w14:paraId="6E7888AE">
      <w:pPr>
        <w:pStyle w:val="2"/>
        <w:ind w:left="1258" w:hanging="1258"/>
        <w:jc w:val="both"/>
        <w:rPr>
          <w:rFonts w:ascii="仿宋_GB2312" w:eastAsia="仿宋_GB2312"/>
          <w:sz w:val="32"/>
        </w:rPr>
      </w:pPr>
    </w:p>
    <w:p w14:paraId="3CB9789A">
      <w:pPr>
        <w:pStyle w:val="2"/>
        <w:jc w:val="both"/>
      </w:pPr>
    </w:p>
    <w:p w14:paraId="21CB6E3E"/>
    <w:sectPr>
      <w:footerReference r:id="rId3" w:type="default"/>
      <w:footerReference r:id="rId4" w:type="even"/>
      <w:pgSz w:w="11906" w:h="16838"/>
      <w:pgMar w:top="2155" w:right="1531" w:bottom="1588" w:left="1588" w:header="0" w:footer="1588" w:gutter="0"/>
      <w:cols w:space="720" w:num="1"/>
      <w:docGrid w:type="linesAndChars" w:linePitch="56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60EC8">
    <w:pPr>
      <w:pStyle w:val="3"/>
      <w:framePr w:wrap="around" w:vAnchor="text" w:hAnchor="margin" w:xAlign="right" w:y="1"/>
      <w:rPr>
        <w:rStyle w:val="6"/>
        <w:rFonts w:ascii="仿宋_GB2312"/>
        <w:sz w:val="28"/>
      </w:rPr>
    </w:pPr>
    <w:r>
      <w:rPr>
        <w:rStyle w:val="6"/>
        <w:rFonts w:hint="eastAsia" w:ascii="仿宋_GB2312"/>
        <w:sz w:val="28"/>
      </w:rPr>
      <w:t>-</w:t>
    </w:r>
    <w:r>
      <w:rPr>
        <w:rFonts w:hint="eastAsia" w:ascii="仿宋_GB2312"/>
        <w:sz w:val="28"/>
        <w:szCs w:val="28"/>
      </w:rPr>
      <w:fldChar w:fldCharType="begin"/>
    </w:r>
    <w:r>
      <w:rPr>
        <w:rStyle w:val="6"/>
        <w:rFonts w:hint="eastAsia" w:ascii="仿宋_GB2312"/>
        <w:sz w:val="28"/>
        <w:szCs w:val="28"/>
      </w:rPr>
      <w:instrText xml:space="preserve"> PAGE </w:instrText>
    </w:r>
    <w:r>
      <w:rPr>
        <w:rFonts w:hint="eastAsia" w:ascii="仿宋_GB2312"/>
        <w:sz w:val="28"/>
        <w:szCs w:val="28"/>
      </w:rPr>
      <w:fldChar w:fldCharType="separate"/>
    </w:r>
    <w:r>
      <w:rPr>
        <w:rStyle w:val="6"/>
        <w:rFonts w:ascii="仿宋_GB2312"/>
        <w:sz w:val="28"/>
        <w:szCs w:val="28"/>
      </w:rPr>
      <w:t>2</w:t>
    </w:r>
    <w:r>
      <w:rPr>
        <w:rFonts w:hint="eastAsia" w:ascii="仿宋_GB2312"/>
        <w:sz w:val="28"/>
        <w:szCs w:val="28"/>
      </w:rPr>
      <w:fldChar w:fldCharType="end"/>
    </w:r>
    <w:r>
      <w:rPr>
        <w:rStyle w:val="6"/>
        <w:rFonts w:hint="eastAsia" w:ascii="仿宋_GB2312"/>
        <w:sz w:val="28"/>
        <w:szCs w:val="28"/>
      </w:rPr>
      <w:t>-</w:t>
    </w:r>
  </w:p>
  <w:p w14:paraId="1779ED9F">
    <w:pPr>
      <w:pStyle w:val="3"/>
      <w:ind w:right="360"/>
      <w:jc w:val="right"/>
      <w:rPr>
        <w:rFonts w:ascii="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C416A">
    <w:pPr>
      <w:pStyle w:val="3"/>
      <w:framePr w:wrap="around" w:vAnchor="text" w:hAnchor="margin" w:xAlign="right" w:y="1"/>
      <w:rPr>
        <w:rStyle w:val="6"/>
      </w:rPr>
    </w:pPr>
    <w:r>
      <w:fldChar w:fldCharType="begin"/>
    </w:r>
    <w:r>
      <w:rPr>
        <w:rStyle w:val="6"/>
      </w:rPr>
      <w:instrText xml:space="preserve">PAGE  </w:instrText>
    </w:r>
    <w:r>
      <w:fldChar w:fldCharType="separate"/>
    </w:r>
    <w:r>
      <w:rPr>
        <w:rStyle w:val="6"/>
      </w:rPr>
      <w:t>1</w:t>
    </w:r>
    <w:r>
      <w:fldChar w:fldCharType="end"/>
    </w:r>
  </w:p>
  <w:p w14:paraId="7342ACF0">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6129F"/>
    <w:rsid w:val="00013AA6"/>
    <w:rsid w:val="00284E72"/>
    <w:rsid w:val="0046129F"/>
    <w:rsid w:val="00676E7F"/>
    <w:rsid w:val="00A45E15"/>
    <w:rsid w:val="00A73AAE"/>
    <w:rsid w:val="00CB44D4"/>
    <w:rsid w:val="00DB0A22"/>
    <w:rsid w:val="00E9754E"/>
    <w:rsid w:val="00ED05C9"/>
    <w:rsid w:val="0DED1A4C"/>
    <w:rsid w:val="719A4051"/>
    <w:rsid w:val="7B676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ody Text"/>
    <w:basedOn w:val="1"/>
    <w:link w:val="7"/>
    <w:uiPriority w:val="0"/>
    <w:pPr>
      <w:jc w:val="center"/>
    </w:pPr>
    <w:rPr>
      <w:rFonts w:eastAsia="黑体"/>
      <w:sz w:val="36"/>
    </w:rPr>
  </w:style>
  <w:style w:type="paragraph" w:styleId="3">
    <w:name w:val="footer"/>
    <w:basedOn w:val="1"/>
    <w:link w:val="8"/>
    <w:qFormat/>
    <w:uiPriority w:val="0"/>
    <w:pPr>
      <w:tabs>
        <w:tab w:val="center" w:pos="4153"/>
        <w:tab w:val="right" w:pos="8306"/>
      </w:tabs>
      <w:snapToGrid w:val="0"/>
      <w:jc w:val="left"/>
    </w:pPr>
    <w:rPr>
      <w:sz w:val="18"/>
    </w:rPr>
  </w:style>
  <w:style w:type="character" w:styleId="6">
    <w:name w:val="page number"/>
    <w:basedOn w:val="5"/>
    <w:qFormat/>
    <w:uiPriority w:val="0"/>
  </w:style>
  <w:style w:type="character" w:customStyle="1" w:styleId="7">
    <w:name w:val="正文文本 Char"/>
    <w:basedOn w:val="5"/>
    <w:link w:val="2"/>
    <w:uiPriority w:val="0"/>
    <w:rPr>
      <w:rFonts w:ascii="Times New Roman" w:hAnsi="Times New Roman" w:eastAsia="黑体" w:cs="Times New Roman"/>
      <w:sz w:val="36"/>
      <w:szCs w:val="20"/>
    </w:rPr>
  </w:style>
  <w:style w:type="character" w:customStyle="1" w:styleId="8">
    <w:name w:val="页脚 Char"/>
    <w:basedOn w:val="5"/>
    <w:link w:val="3"/>
    <w:qFormat/>
    <w:uiPriority w:val="0"/>
    <w:rPr>
      <w:rFonts w:ascii="Times New Roman" w:hAnsi="Times New Roman" w:eastAsia="仿宋_GB2312" w:cs="Times New Roman"/>
      <w:sz w:val="1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929</Words>
  <Characters>1026</Characters>
  <Lines>9</Lines>
  <Paragraphs>2</Paragraphs>
  <TotalTime>29</TotalTime>
  <ScaleCrop>false</ScaleCrop>
  <LinksUpToDate>false</LinksUpToDate>
  <CharactersWithSpaces>1070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2025-09-01T11:59:00Z</dcterms:created>
  <dc:creator>Administrator</dc:creator>
  <cp:lastModifiedBy>Administrator</cp:lastModifiedBy>
  <dcterms:modified xsi:type="dcterms:W3CDTF">2025-09-30T06:38:36Z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eyJoZGlkIjoiMzVhNDZjZTIzMWU4YWI3NTc0OGY1ZTU1YTNmZTRkYjUifQ==</vt:lpwstr>
  </property>
  <property fmtid="{D5CDD505-2E9C-101B-9397-08002B2CF9AE}" pid="3" name="KSOProductBuildVer">
    <vt:lpwstr>2052-12.1.0.22529</vt:lpwstr>
  </property>
  <property fmtid="{D5CDD505-2E9C-101B-9397-08002B2CF9AE}" pid="4" name="ICV">
    <vt:lpwstr>00744DA01A8349819C3FC80AEFD931FF_12</vt:lpwstr>
  </property>
</Properties>
</file>