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F6E64">
      <w:pPr>
        <w:rPr>
          <w:rFonts w:ascii="黑体" w:hAnsi="黑体" w:eastAsia="黑体" w:cs="黑体"/>
          <w:bCs/>
          <w:szCs w:val="32"/>
        </w:rPr>
      </w:pPr>
    </w:p>
    <w:p w14:paraId="17784FB4">
      <w:pPr>
        <w:jc w:val="center"/>
        <w:rPr>
          <w:rFonts w:ascii="宋体" w:hAnsi="宋体"/>
          <w:b/>
          <w:sz w:val="36"/>
          <w:szCs w:val="36"/>
        </w:rPr>
      </w:pPr>
      <w:r>
        <w:rPr>
          <w:rFonts w:hint="eastAsia" w:ascii="宋体" w:hAnsi="宋体"/>
          <w:b/>
          <w:sz w:val="36"/>
          <w:szCs w:val="36"/>
          <w:lang w:val="en-US" w:eastAsia="zh-CN"/>
        </w:rPr>
        <w:t>砀城镇人民政府</w:t>
      </w:r>
      <w:r>
        <w:rPr>
          <w:rFonts w:hint="eastAsia" w:ascii="宋体" w:hAnsi="宋体"/>
          <w:b/>
          <w:sz w:val="36"/>
          <w:szCs w:val="36"/>
        </w:rPr>
        <w:t>2024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170BB045">
      <w:pPr>
        <w:jc w:val="center"/>
        <w:rPr>
          <w:rFonts w:ascii="楷体_GB2312" w:eastAsia="楷体_GB2312"/>
          <w:szCs w:val="32"/>
        </w:rPr>
      </w:pPr>
    </w:p>
    <w:p w14:paraId="798027C7">
      <w:pPr>
        <w:adjustRightInd w:val="0"/>
        <w:snapToGrid w:val="0"/>
        <w:spacing w:line="360" w:lineRule="auto"/>
        <w:jc w:val="center"/>
        <w:rPr>
          <w:rFonts w:ascii="宋体" w:hAnsi="宋体"/>
          <w:sz w:val="6"/>
          <w:szCs w:val="32"/>
        </w:rPr>
      </w:pPr>
    </w:p>
    <w:p w14:paraId="5D53F960">
      <w:pPr>
        <w:ind w:firstLine="627"/>
        <w:rPr>
          <w:rFonts w:ascii="黑体" w:hAnsi="黑体" w:eastAsia="黑体"/>
          <w:szCs w:val="32"/>
        </w:rPr>
      </w:pPr>
      <w:r>
        <w:rPr>
          <w:rFonts w:hint="eastAsia" w:ascii="黑体" w:hAnsi="黑体" w:eastAsia="黑体"/>
          <w:szCs w:val="32"/>
        </w:rPr>
        <w:t>一、2024年度一般公共预算财政拨款“三公”经费支出决算表</w:t>
      </w:r>
    </w:p>
    <w:tbl>
      <w:tblPr>
        <w:tblStyle w:val="3"/>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615CC3F7">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0CEBD8A8">
            <w:pPr>
              <w:widowControl/>
              <w:jc w:val="left"/>
              <w:textAlignment w:val="center"/>
              <w:rPr>
                <w:rFonts w:ascii="宋体" w:hAnsi="宋体" w:eastAsia="宋体" w:cs="宋体"/>
                <w:color w:val="000000"/>
                <w:sz w:val="20"/>
              </w:rPr>
            </w:pPr>
          </w:p>
        </w:tc>
        <w:tc>
          <w:tcPr>
            <w:tcW w:w="792" w:type="dxa"/>
            <w:tcBorders>
              <w:top w:val="nil"/>
              <w:left w:val="nil"/>
              <w:bottom w:val="nil"/>
              <w:right w:val="nil"/>
            </w:tcBorders>
            <w:shd w:val="clear" w:color="auto" w:fill="FFFFFF"/>
            <w:tcMar>
              <w:top w:w="12" w:type="dxa"/>
              <w:left w:w="12" w:type="dxa"/>
              <w:right w:w="12" w:type="dxa"/>
            </w:tcMar>
            <w:vAlign w:val="center"/>
          </w:tcPr>
          <w:p w14:paraId="7F8B0FA9">
            <w:pPr>
              <w:rPr>
                <w:rFonts w:ascii="宋体" w:hAnsi="宋体" w:eastAsia="宋体" w:cs="宋体"/>
                <w:color w:val="000000"/>
                <w:sz w:val="20"/>
              </w:rPr>
            </w:pPr>
          </w:p>
        </w:tc>
        <w:tc>
          <w:tcPr>
            <w:tcW w:w="588" w:type="dxa"/>
            <w:tcBorders>
              <w:top w:val="nil"/>
              <w:left w:val="nil"/>
              <w:bottom w:val="nil"/>
              <w:right w:val="nil"/>
            </w:tcBorders>
            <w:shd w:val="clear" w:color="auto" w:fill="FFFFFF"/>
            <w:tcMar>
              <w:top w:w="12" w:type="dxa"/>
              <w:left w:w="12" w:type="dxa"/>
              <w:right w:w="12" w:type="dxa"/>
            </w:tcMar>
            <w:vAlign w:val="center"/>
          </w:tcPr>
          <w:p w14:paraId="3CA928D3">
            <w:pPr>
              <w:rPr>
                <w:rFonts w:ascii="宋体" w:hAnsi="宋体" w:eastAsia="宋体" w:cs="宋体"/>
                <w:color w:val="000000"/>
                <w:sz w:val="20"/>
              </w:rPr>
            </w:pPr>
          </w:p>
        </w:tc>
        <w:tc>
          <w:tcPr>
            <w:tcW w:w="744" w:type="dxa"/>
            <w:tcBorders>
              <w:top w:val="nil"/>
              <w:left w:val="nil"/>
              <w:bottom w:val="nil"/>
              <w:right w:val="nil"/>
            </w:tcBorders>
            <w:shd w:val="clear" w:color="auto" w:fill="FFFFFF"/>
            <w:tcMar>
              <w:top w:w="12" w:type="dxa"/>
              <w:left w:w="12" w:type="dxa"/>
              <w:right w:w="12" w:type="dxa"/>
            </w:tcMar>
            <w:vAlign w:val="center"/>
          </w:tcPr>
          <w:p w14:paraId="5BF71E2C">
            <w:pPr>
              <w:rPr>
                <w:rFonts w:ascii="宋体" w:hAnsi="宋体" w:eastAsia="宋体" w:cs="宋体"/>
                <w:color w:val="000000"/>
                <w:sz w:val="20"/>
              </w:rPr>
            </w:pPr>
          </w:p>
        </w:tc>
        <w:tc>
          <w:tcPr>
            <w:tcW w:w="960" w:type="dxa"/>
            <w:tcBorders>
              <w:top w:val="nil"/>
              <w:left w:val="nil"/>
              <w:bottom w:val="nil"/>
              <w:right w:val="nil"/>
            </w:tcBorders>
            <w:shd w:val="clear" w:color="auto" w:fill="FFFFFF"/>
            <w:tcMar>
              <w:top w:w="12" w:type="dxa"/>
              <w:left w:w="12" w:type="dxa"/>
              <w:right w:w="12" w:type="dxa"/>
            </w:tcMar>
            <w:vAlign w:val="center"/>
          </w:tcPr>
          <w:p w14:paraId="640A4EF2">
            <w:pPr>
              <w:rPr>
                <w:rFonts w:ascii="宋体" w:hAnsi="宋体" w:eastAsia="宋体" w:cs="宋体"/>
                <w:color w:val="000000"/>
                <w:sz w:val="20"/>
              </w:rPr>
            </w:pPr>
          </w:p>
        </w:tc>
        <w:tc>
          <w:tcPr>
            <w:tcW w:w="636" w:type="dxa"/>
            <w:tcBorders>
              <w:top w:val="nil"/>
              <w:left w:val="nil"/>
              <w:bottom w:val="nil"/>
              <w:right w:val="nil"/>
            </w:tcBorders>
            <w:shd w:val="clear" w:color="auto" w:fill="FFFFFF"/>
            <w:tcMar>
              <w:top w:w="12" w:type="dxa"/>
              <w:left w:w="12" w:type="dxa"/>
              <w:right w:w="12" w:type="dxa"/>
            </w:tcMar>
            <w:vAlign w:val="center"/>
          </w:tcPr>
          <w:p w14:paraId="36999ED9">
            <w:pPr>
              <w:rPr>
                <w:rFonts w:ascii="宋体" w:hAnsi="宋体" w:eastAsia="宋体" w:cs="宋体"/>
                <w:color w:val="000000"/>
                <w:sz w:val="20"/>
              </w:rPr>
            </w:pPr>
          </w:p>
        </w:tc>
        <w:tc>
          <w:tcPr>
            <w:tcW w:w="600" w:type="dxa"/>
            <w:tcBorders>
              <w:top w:val="nil"/>
              <w:left w:val="nil"/>
              <w:bottom w:val="nil"/>
              <w:right w:val="nil"/>
            </w:tcBorders>
            <w:shd w:val="clear" w:color="auto" w:fill="FFFFFF"/>
            <w:tcMar>
              <w:top w:w="12" w:type="dxa"/>
              <w:left w:w="12" w:type="dxa"/>
              <w:right w:w="12" w:type="dxa"/>
            </w:tcMar>
            <w:vAlign w:val="center"/>
          </w:tcPr>
          <w:p w14:paraId="4257DF42">
            <w:pPr>
              <w:rPr>
                <w:rFonts w:ascii="宋体" w:hAnsi="宋体" w:eastAsia="宋体" w:cs="宋体"/>
                <w:color w:val="000000"/>
                <w:sz w:val="20"/>
              </w:rPr>
            </w:pPr>
          </w:p>
        </w:tc>
        <w:tc>
          <w:tcPr>
            <w:tcW w:w="816" w:type="dxa"/>
            <w:tcBorders>
              <w:top w:val="nil"/>
              <w:left w:val="nil"/>
              <w:bottom w:val="nil"/>
              <w:right w:val="nil"/>
            </w:tcBorders>
            <w:shd w:val="clear" w:color="auto" w:fill="FFFFFF"/>
            <w:tcMar>
              <w:top w:w="12" w:type="dxa"/>
              <w:left w:w="12" w:type="dxa"/>
              <w:right w:w="12" w:type="dxa"/>
            </w:tcMar>
            <w:vAlign w:val="center"/>
          </w:tcPr>
          <w:p w14:paraId="69A1C8FD">
            <w:pPr>
              <w:rPr>
                <w:rFonts w:ascii="宋体" w:hAnsi="宋体" w:eastAsia="宋体" w:cs="宋体"/>
                <w:color w:val="000000"/>
                <w:sz w:val="20"/>
              </w:rPr>
            </w:pPr>
          </w:p>
        </w:tc>
        <w:tc>
          <w:tcPr>
            <w:tcW w:w="696" w:type="dxa"/>
            <w:tcBorders>
              <w:top w:val="nil"/>
              <w:left w:val="nil"/>
              <w:bottom w:val="nil"/>
              <w:right w:val="nil"/>
            </w:tcBorders>
            <w:shd w:val="clear" w:color="auto" w:fill="FFFFFF"/>
            <w:tcMar>
              <w:top w:w="12" w:type="dxa"/>
              <w:left w:w="12" w:type="dxa"/>
              <w:right w:w="12" w:type="dxa"/>
            </w:tcMar>
            <w:vAlign w:val="center"/>
          </w:tcPr>
          <w:p w14:paraId="27B5E3D5">
            <w:pPr>
              <w:rPr>
                <w:rFonts w:ascii="宋体" w:hAnsi="宋体" w:eastAsia="宋体" w:cs="宋体"/>
                <w:color w:val="000000"/>
                <w:sz w:val="20"/>
              </w:rPr>
            </w:pPr>
          </w:p>
        </w:tc>
        <w:tc>
          <w:tcPr>
            <w:tcW w:w="840" w:type="dxa"/>
            <w:tcBorders>
              <w:top w:val="nil"/>
              <w:left w:val="nil"/>
              <w:bottom w:val="nil"/>
              <w:right w:val="nil"/>
            </w:tcBorders>
            <w:shd w:val="clear" w:color="auto" w:fill="FFFFFF"/>
            <w:tcMar>
              <w:top w:w="12" w:type="dxa"/>
              <w:left w:w="12" w:type="dxa"/>
              <w:right w:w="12" w:type="dxa"/>
            </w:tcMar>
            <w:vAlign w:val="center"/>
          </w:tcPr>
          <w:p w14:paraId="6364B33D">
            <w:pPr>
              <w:rPr>
                <w:rFonts w:ascii="宋体" w:hAnsi="宋体" w:eastAsia="宋体" w:cs="宋体"/>
                <w:color w:val="000000"/>
                <w:sz w:val="20"/>
              </w:rPr>
            </w:pPr>
          </w:p>
        </w:tc>
        <w:tc>
          <w:tcPr>
            <w:tcW w:w="1548" w:type="dxa"/>
            <w:gridSpan w:val="2"/>
            <w:tcBorders>
              <w:top w:val="nil"/>
              <w:left w:val="nil"/>
              <w:bottom w:val="nil"/>
              <w:right w:val="nil"/>
            </w:tcBorders>
            <w:shd w:val="clear" w:color="auto" w:fill="FFFFFF"/>
            <w:tcMar>
              <w:top w:w="12" w:type="dxa"/>
              <w:left w:w="12" w:type="dxa"/>
              <w:right w:w="12" w:type="dxa"/>
            </w:tcMar>
            <w:vAlign w:val="center"/>
          </w:tcPr>
          <w:p w14:paraId="76873736">
            <w:pPr>
              <w:widowControl/>
              <w:jc w:val="right"/>
              <w:textAlignment w:val="center"/>
              <w:rPr>
                <w:rFonts w:ascii="宋体" w:hAnsi="宋体" w:eastAsia="宋体" w:cs="宋体"/>
                <w:color w:val="000000"/>
                <w:sz w:val="20"/>
              </w:rPr>
            </w:pPr>
            <w:r>
              <w:rPr>
                <w:rFonts w:hint="eastAsia" w:ascii="宋体" w:hAnsi="宋体" w:eastAsia="宋体" w:cs="Arial"/>
                <w:color w:val="000000"/>
                <w:kern w:val="0"/>
                <w:sz w:val="22"/>
                <w:szCs w:val="22"/>
              </w:rPr>
              <w:t>金额单位</w:t>
            </w:r>
            <w:r>
              <w:rPr>
                <w:rFonts w:hint="eastAsia" w:ascii="宋体" w:hAnsi="宋体" w:eastAsia="宋体" w:cs="宋体"/>
                <w:color w:val="000000"/>
                <w:kern w:val="0"/>
                <w:sz w:val="20"/>
              </w:rPr>
              <w:t>：万元</w:t>
            </w:r>
          </w:p>
        </w:tc>
      </w:tr>
      <w:tr w14:paraId="519DEB4C">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74A7E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预算数</w:t>
            </w:r>
          </w:p>
        </w:tc>
        <w:tc>
          <w:tcPr>
            <w:tcW w:w="4500"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A4CB9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决算数</w:t>
            </w:r>
          </w:p>
        </w:tc>
      </w:tr>
      <w:tr w14:paraId="7B4BEDF6">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F8E1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79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7DD8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EC90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1652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9A69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8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9AEA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12E7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0"/>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8982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r>
      <w:tr w14:paraId="548E49B4">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318DAD">
            <w:pPr>
              <w:jc w:val="center"/>
              <w:rPr>
                <w:rFonts w:ascii="宋体" w:hAnsi="宋体" w:eastAsia="宋体" w:cs="宋体"/>
                <w:color w:val="000000"/>
                <w:sz w:val="18"/>
                <w:szCs w:val="18"/>
              </w:rPr>
            </w:pPr>
          </w:p>
        </w:tc>
        <w:tc>
          <w:tcPr>
            <w:tcW w:w="79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F175D0">
            <w:pPr>
              <w:jc w:val="center"/>
              <w:rPr>
                <w:rFonts w:ascii="宋体" w:hAnsi="宋体" w:eastAsia="宋体" w:cs="宋体"/>
                <w:color w:val="000000"/>
                <w:sz w:val="18"/>
                <w:szCs w:val="18"/>
              </w:rPr>
            </w:pP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E806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BE35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C68F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DBDF90">
            <w:pPr>
              <w:jc w:val="center"/>
              <w:rPr>
                <w:rFonts w:ascii="宋体" w:hAnsi="宋体" w:eastAsia="宋体" w:cs="宋体"/>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D3F89A">
            <w:pPr>
              <w:jc w:val="center"/>
              <w:rPr>
                <w:rFonts w:ascii="宋体" w:hAnsi="宋体" w:eastAsia="宋体" w:cs="宋体"/>
                <w:color w:val="000000"/>
                <w:sz w:val="18"/>
                <w:szCs w:val="18"/>
              </w:rPr>
            </w:pPr>
          </w:p>
        </w:tc>
        <w:tc>
          <w:tcPr>
            <w:tcW w:w="8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D2C0B5">
            <w:pPr>
              <w:jc w:val="center"/>
              <w:rPr>
                <w:rFonts w:ascii="宋体" w:hAnsi="宋体" w:eastAsia="宋体"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00B5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C674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733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5DB2C1">
            <w:pPr>
              <w:jc w:val="center"/>
              <w:rPr>
                <w:rFonts w:ascii="宋体" w:hAnsi="宋体" w:eastAsia="宋体" w:cs="宋体"/>
                <w:color w:val="000000"/>
                <w:sz w:val="18"/>
                <w:szCs w:val="18"/>
              </w:rPr>
            </w:pPr>
          </w:p>
        </w:tc>
      </w:tr>
      <w:tr w14:paraId="789734F0">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32CED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038B6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w:t>
            </w: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1C6891">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3</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A24B8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85F0AF">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5</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1F018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6</w:t>
            </w: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D7B4A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7</w:t>
            </w:r>
          </w:p>
        </w:tc>
        <w:tc>
          <w:tcPr>
            <w:tcW w:w="8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A0EC6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8</w:t>
            </w: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789F9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9</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3C22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5D73C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11</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56933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12</w:t>
            </w:r>
          </w:p>
        </w:tc>
      </w:tr>
      <w:tr w14:paraId="61666D8C">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184F63">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1.99</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0B3E19">
            <w:pPr>
              <w:rPr>
                <w:rFonts w:ascii="宋体" w:hAnsi="宋体" w:eastAsia="宋体" w:cs="宋体"/>
                <w:color w:val="000000"/>
                <w:sz w:val="20"/>
              </w:rPr>
            </w:pP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FC49A2">
            <w:pPr>
              <w:rPr>
                <w:rFonts w:ascii="宋体" w:hAnsi="宋体" w:eastAsia="宋体" w:cs="宋体"/>
                <w:color w:val="000000"/>
                <w:sz w:val="20"/>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DC63CA">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1.79</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339A7D">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1.79</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204F73">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0.2</w:t>
            </w: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9EB584">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1.99</w:t>
            </w:r>
          </w:p>
        </w:tc>
        <w:tc>
          <w:tcPr>
            <w:tcW w:w="8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4A4FBC">
            <w:pPr>
              <w:rPr>
                <w:rFonts w:ascii="宋体" w:hAnsi="宋体" w:eastAsia="宋体" w:cs="宋体"/>
                <w:color w:val="000000"/>
                <w:sz w:val="20"/>
              </w:rPr>
            </w:pP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F31436">
            <w:pPr>
              <w:rPr>
                <w:rFonts w:ascii="宋体" w:hAnsi="宋体" w:eastAsia="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129A99">
            <w:pPr>
              <w:rPr>
                <w:rFonts w:ascii="宋体" w:hAnsi="宋体" w:eastAsia="宋体" w:cs="宋体"/>
                <w:color w:val="000000"/>
                <w:sz w:val="20"/>
              </w:rPr>
            </w:pP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08D104">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1.79</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5E62FE">
            <w:pP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0.2</w:t>
            </w:r>
          </w:p>
        </w:tc>
      </w:tr>
    </w:tbl>
    <w:p w14:paraId="1E64FBFB">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0F1F0537">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00D988A">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393827D4">
      <w:pPr>
        <w:ind w:firstLine="640" w:firstLineChars="200"/>
        <w:rPr>
          <w:rFonts w:ascii="楷体_GB2312" w:hAnsi="仿宋" w:eastAsia="楷体_GB2312"/>
          <w:szCs w:val="32"/>
        </w:rPr>
      </w:pPr>
      <w:r>
        <w:rPr>
          <w:rFonts w:hint="eastAsia" w:ascii="仿宋_GB2312" w:hAnsi="仿宋"/>
          <w:szCs w:val="32"/>
          <w:lang w:val="en-US" w:eastAsia="zh-CN"/>
        </w:rPr>
        <w:t>砀城镇人民政府</w:t>
      </w:r>
      <w:r>
        <w:rPr>
          <w:rFonts w:hint="eastAsia" w:ascii="仿宋_GB2312" w:hAnsi="仿宋"/>
          <w:szCs w:val="32"/>
        </w:rPr>
        <w:t>2024年度一般公共预算财政拨款“三公”经费支出预算为</w:t>
      </w:r>
      <w:r>
        <w:rPr>
          <w:rFonts w:hint="eastAsia" w:ascii="仿宋_GB2312" w:hAnsi="仿宋"/>
          <w:szCs w:val="32"/>
          <w:lang w:val="en-US" w:eastAsia="zh-CN"/>
        </w:rPr>
        <w:t>1.99</w:t>
      </w:r>
      <w:r>
        <w:rPr>
          <w:rFonts w:hint="eastAsia" w:ascii="仿宋_GB2312" w:hAnsi="仿宋"/>
          <w:szCs w:val="32"/>
        </w:rPr>
        <w:t>万元，支出决算为</w:t>
      </w:r>
      <w:r>
        <w:rPr>
          <w:rFonts w:hint="eastAsia" w:ascii="仿宋_GB2312" w:hAnsi="仿宋"/>
          <w:szCs w:val="32"/>
          <w:lang w:val="en-US" w:eastAsia="zh-CN"/>
        </w:rPr>
        <w:t>1.99</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4.25</w:t>
      </w:r>
      <w:r>
        <w:rPr>
          <w:rFonts w:hint="eastAsia" w:ascii="仿宋_GB2312" w:hAnsi="仿宋"/>
          <w:szCs w:val="32"/>
        </w:rPr>
        <w:t>万元，下降</w:t>
      </w:r>
      <w:r>
        <w:rPr>
          <w:rFonts w:hint="eastAsia" w:ascii="仿宋_GB2312" w:hAnsi="仿宋"/>
          <w:szCs w:val="32"/>
          <w:lang w:val="en-US" w:eastAsia="zh-CN"/>
        </w:rPr>
        <w:t>68.11</w:t>
      </w:r>
      <w:r>
        <w:rPr>
          <w:rFonts w:hint="eastAsia" w:ascii="仿宋_GB2312" w:hAnsi="仿宋"/>
          <w:szCs w:val="32"/>
        </w:rPr>
        <w:t>%。决算数小于预算数</w:t>
      </w:r>
      <w:r>
        <w:rPr>
          <w:rFonts w:hint="eastAsia" w:ascii="仿宋_GB2312" w:hAnsi="仿宋"/>
          <w:szCs w:val="32"/>
          <w:lang w:val="en-US" w:eastAsia="zh-CN"/>
        </w:rPr>
        <w:t>和上年数</w:t>
      </w:r>
      <w:r>
        <w:rPr>
          <w:rFonts w:hint="eastAsia" w:ascii="仿宋_GB2312" w:hAnsi="仿宋"/>
          <w:szCs w:val="32"/>
        </w:rPr>
        <w:t>的主要原因是</w:t>
      </w:r>
      <w:r>
        <w:rPr>
          <w:rFonts w:hint="eastAsia" w:ascii="仿宋_GB2312" w:hAnsi="仿宋"/>
          <w:sz w:val="32"/>
          <w:szCs w:val="32"/>
          <w:lang w:val="en-US" w:eastAsia="zh-CN"/>
        </w:rPr>
        <w:t>公务</w:t>
      </w:r>
      <w:r>
        <w:rPr>
          <w:rFonts w:hint="eastAsia" w:ascii="仿宋_GB2312" w:hAnsi="仿宋" w:eastAsia="仿宋_GB2312"/>
          <w:sz w:val="32"/>
          <w:szCs w:val="32"/>
        </w:rPr>
        <w:t>车辆的运行开支</w:t>
      </w:r>
      <w:r>
        <w:rPr>
          <w:rFonts w:hint="eastAsia" w:ascii="仿宋_GB2312" w:hAnsi="仿宋"/>
          <w:sz w:val="32"/>
          <w:szCs w:val="32"/>
          <w:lang w:val="en-US" w:eastAsia="zh-CN"/>
        </w:rPr>
        <w:t>减少</w:t>
      </w:r>
      <w:r>
        <w:rPr>
          <w:rFonts w:hint="eastAsia" w:ascii="仿宋_GB2312" w:hAnsi="仿宋"/>
          <w:szCs w:val="32"/>
        </w:rPr>
        <w:t>。</w:t>
      </w:r>
    </w:p>
    <w:p w14:paraId="0EBAA4DE">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0C0F776">
      <w:pPr>
        <w:ind w:firstLine="640" w:firstLineChars="200"/>
        <w:rPr>
          <w:rFonts w:ascii="仿宋_GB2312" w:hAnsi="仿宋"/>
          <w:szCs w:val="32"/>
        </w:rPr>
      </w:pPr>
      <w:r>
        <w:rPr>
          <w:rFonts w:hint="eastAsia" w:ascii="仿宋_GB2312" w:hAnsi="仿宋"/>
          <w:szCs w:val="32"/>
          <w:lang w:val="en-US" w:eastAsia="zh-CN"/>
        </w:rPr>
        <w:t>砀城镇人民政府</w:t>
      </w:r>
      <w:r>
        <w:rPr>
          <w:rFonts w:hint="eastAsia" w:ascii="仿宋_GB2312" w:hAnsi="仿宋"/>
          <w:szCs w:val="32"/>
        </w:rPr>
        <w:t>2024年度一般公共预算财政拨款“三公”经费支出决算中，因公出国（境）费支出决算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0.2</w:t>
      </w:r>
      <w:r>
        <w:rPr>
          <w:rFonts w:hint="eastAsia" w:ascii="仿宋_GB2312" w:hAnsi="仿宋"/>
          <w:szCs w:val="32"/>
        </w:rPr>
        <w:t>万元，占</w:t>
      </w:r>
      <w:r>
        <w:rPr>
          <w:rFonts w:hint="eastAsia" w:ascii="仿宋_GB2312" w:hAnsi="仿宋"/>
          <w:szCs w:val="32"/>
          <w:lang w:val="en-US" w:eastAsia="zh-CN"/>
        </w:rPr>
        <w:t>10.05</w:t>
      </w:r>
      <w:r>
        <w:rPr>
          <w:rFonts w:hint="eastAsia" w:ascii="仿宋_GB2312" w:hAnsi="仿宋"/>
          <w:szCs w:val="32"/>
        </w:rPr>
        <w:t>%；公务用车购置及运行维护费支出决算</w:t>
      </w:r>
      <w:r>
        <w:rPr>
          <w:rFonts w:hint="eastAsia" w:ascii="仿宋_GB2312" w:hAnsi="仿宋"/>
          <w:szCs w:val="32"/>
          <w:lang w:val="en-US" w:eastAsia="zh-CN"/>
        </w:rPr>
        <w:t>1.79</w:t>
      </w:r>
      <w:r>
        <w:rPr>
          <w:rFonts w:hint="eastAsia" w:ascii="仿宋_GB2312" w:hAnsi="仿宋"/>
          <w:szCs w:val="32"/>
        </w:rPr>
        <w:t>万元，占</w:t>
      </w:r>
      <w:r>
        <w:rPr>
          <w:rFonts w:hint="eastAsia" w:ascii="仿宋_GB2312" w:hAnsi="仿宋"/>
          <w:szCs w:val="32"/>
          <w:lang w:val="en-US" w:eastAsia="zh-CN"/>
        </w:rPr>
        <w:t>89.95</w:t>
      </w:r>
      <w:r>
        <w:rPr>
          <w:rFonts w:hint="eastAsia" w:ascii="仿宋_GB2312" w:hAnsi="仿宋"/>
          <w:szCs w:val="32"/>
        </w:rPr>
        <w:t>%。具体情况如下：</w:t>
      </w:r>
    </w:p>
    <w:p w14:paraId="173C52FC">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0</w:t>
      </w:r>
      <w:r>
        <w:rPr>
          <w:rFonts w:hint="eastAsia" w:ascii="仿宋_GB2312" w:hAnsi="仿宋"/>
          <w:szCs w:val="32"/>
        </w:rPr>
        <w:t>%；较上年</w:t>
      </w:r>
      <w:r>
        <w:rPr>
          <w:rFonts w:hint="eastAsia" w:ascii="仿宋_GB2312" w:hAnsi="仿宋"/>
          <w:szCs w:val="32"/>
          <w:lang w:val="en-US" w:eastAsia="zh-CN"/>
        </w:rPr>
        <w:t>不变</w:t>
      </w:r>
      <w:r>
        <w:rPr>
          <w:rFonts w:hint="eastAsia" w:ascii="仿宋_GB2312" w:hAnsi="仿宋"/>
          <w:szCs w:val="32"/>
        </w:rPr>
        <w:t>。</w:t>
      </w:r>
    </w:p>
    <w:p w14:paraId="7617F618">
      <w:pPr>
        <w:ind w:firstLine="643" w:firstLineChars="200"/>
        <w:rPr>
          <w:rFonts w:ascii="仿宋_GB2312" w:hAnsi="仿宋"/>
          <w:color w:val="FF0000"/>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0.2</w:t>
      </w:r>
      <w:r>
        <w:rPr>
          <w:rFonts w:hint="eastAsia" w:ascii="仿宋_GB2312" w:hAnsi="仿宋"/>
          <w:szCs w:val="32"/>
        </w:rPr>
        <w:t>万元，支出决算为</w:t>
      </w:r>
      <w:r>
        <w:rPr>
          <w:rFonts w:hint="eastAsia" w:ascii="仿宋_GB2312" w:hAnsi="仿宋"/>
          <w:szCs w:val="32"/>
          <w:lang w:val="en-US" w:eastAsia="zh-CN"/>
        </w:rPr>
        <w:t>0.2</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w:t>
      </w:r>
      <w:r>
        <w:rPr>
          <w:rFonts w:hint="eastAsia" w:ascii="仿宋_GB2312" w:hAnsi="仿宋"/>
          <w:szCs w:val="32"/>
          <w:lang w:val="en-US" w:eastAsia="zh-CN"/>
        </w:rPr>
        <w:t>持平</w:t>
      </w:r>
      <w:r>
        <w:rPr>
          <w:rFonts w:hint="eastAsia" w:ascii="仿宋_GB2312" w:hAnsi="仿宋"/>
          <w:szCs w:val="32"/>
        </w:rPr>
        <w:t>。决算数</w:t>
      </w:r>
      <w:r>
        <w:rPr>
          <w:rFonts w:hint="eastAsia" w:ascii="仿宋_GB2312" w:hAnsi="仿宋"/>
          <w:szCs w:val="32"/>
          <w:lang w:val="en-US" w:eastAsia="zh-CN"/>
        </w:rPr>
        <w:t>相比</w:t>
      </w:r>
      <w:r>
        <w:rPr>
          <w:rFonts w:hint="eastAsia" w:ascii="仿宋_GB2312" w:hAnsi="仿宋"/>
          <w:szCs w:val="32"/>
        </w:rPr>
        <w:t>预算数</w:t>
      </w:r>
      <w:r>
        <w:rPr>
          <w:rFonts w:hint="eastAsia" w:ascii="仿宋_GB2312" w:hAnsi="仿宋"/>
          <w:szCs w:val="32"/>
          <w:lang w:val="en-US" w:eastAsia="zh-CN"/>
        </w:rPr>
        <w:t>和</w:t>
      </w:r>
      <w:r>
        <w:rPr>
          <w:rFonts w:hint="eastAsia" w:ascii="仿宋_GB2312" w:hAnsi="仿宋"/>
          <w:szCs w:val="32"/>
        </w:rPr>
        <w:t>上年</w:t>
      </w:r>
      <w:r>
        <w:rPr>
          <w:rFonts w:hint="eastAsia" w:ascii="仿宋_GB2312" w:hAnsi="仿宋"/>
          <w:szCs w:val="32"/>
          <w:lang w:val="en-US" w:eastAsia="zh-CN"/>
        </w:rPr>
        <w:t>数持平</w:t>
      </w:r>
      <w:r>
        <w:rPr>
          <w:rFonts w:hint="eastAsia" w:ascii="仿宋_GB2312" w:hAnsi="仿宋"/>
          <w:szCs w:val="32"/>
        </w:rPr>
        <w:t>的主要原因是</w:t>
      </w:r>
      <w:r>
        <w:rPr>
          <w:rFonts w:hint="eastAsia" w:ascii="仿宋_GB2312" w:hAnsi="仿宋"/>
          <w:szCs w:val="32"/>
          <w:lang w:val="en-US" w:eastAsia="zh-CN"/>
        </w:rPr>
        <w:t>严格</w:t>
      </w:r>
      <w:r>
        <w:rPr>
          <w:rFonts w:hint="eastAsia" w:ascii="仿宋_GB2312" w:hAnsi="仿宋"/>
          <w:szCs w:val="32"/>
        </w:rPr>
        <w:t>贯彻中央八项规定和</w:t>
      </w:r>
      <w:r>
        <w:rPr>
          <w:rFonts w:hint="eastAsia" w:ascii="仿宋_GB2312" w:hAnsi="宋体" w:cs="宋体"/>
          <w:color w:val="282828"/>
          <w:kern w:val="0"/>
          <w:szCs w:val="32"/>
        </w:rPr>
        <w:t>安徽省实施细则</w:t>
      </w:r>
      <w:r>
        <w:rPr>
          <w:rFonts w:hint="eastAsia" w:ascii="仿宋_GB2312" w:hAnsi="仿宋"/>
          <w:szCs w:val="32"/>
        </w:rPr>
        <w:t>，严格执行《党政机关厉行节约反对浪费条例》、《安徽省省直机关公务接待管理暂行办法》（财行〔2014〕2066号）、</w:t>
      </w:r>
      <w:r>
        <w:rPr>
          <w:rFonts w:hint="eastAsia" w:ascii="仿宋_GB2312" w:cs="仿宋_GB2312"/>
          <w:szCs w:val="32"/>
        </w:rPr>
        <w:t>《砀山县党政机关国内公务接待管理细则》（砀办发〔</w:t>
      </w:r>
      <w:r>
        <w:rPr>
          <w:rFonts w:ascii="仿宋_GB2312" w:cs="仿宋_GB2312"/>
          <w:szCs w:val="32"/>
        </w:rPr>
        <w:t>2015</w:t>
      </w:r>
      <w:r>
        <w:rPr>
          <w:rFonts w:hint="eastAsia" w:ascii="仿宋_GB2312" w:cs="仿宋_GB2312"/>
          <w:szCs w:val="32"/>
        </w:rPr>
        <w:t>〕6号）</w:t>
      </w:r>
      <w:r>
        <w:rPr>
          <w:rFonts w:hint="eastAsia" w:ascii="仿宋_GB2312" w:hAnsi="仿宋"/>
          <w:szCs w:val="32"/>
        </w:rPr>
        <w:t>相关规定</w:t>
      </w:r>
      <w:r>
        <w:rPr>
          <w:rFonts w:hint="eastAsia" w:ascii="仿宋_GB2312" w:hAnsi="仿宋"/>
          <w:szCs w:val="32"/>
          <w:lang w:eastAsia="zh-CN"/>
        </w:rPr>
        <w:t>，</w:t>
      </w:r>
      <w:r>
        <w:rPr>
          <w:rFonts w:hint="eastAsia" w:ascii="仿宋_GB2312" w:hAnsi="仿宋"/>
          <w:szCs w:val="32"/>
        </w:rPr>
        <w:t>减少公务接待支出。2024年</w:t>
      </w:r>
      <w:r>
        <w:rPr>
          <w:rFonts w:hint="eastAsia" w:ascii="仿宋_GB2312" w:hAnsi="仿宋"/>
          <w:szCs w:val="32"/>
          <w:lang w:val="en-US" w:eastAsia="zh-CN"/>
        </w:rPr>
        <w:t>砀城镇人民政府</w:t>
      </w:r>
      <w:r>
        <w:rPr>
          <w:rFonts w:hint="eastAsia" w:ascii="仿宋_GB2312" w:hAnsi="仿宋"/>
          <w:szCs w:val="32"/>
        </w:rPr>
        <w:t>国内公务接待共</w:t>
      </w:r>
      <w:r>
        <w:rPr>
          <w:rFonts w:hint="eastAsia" w:ascii="仿宋_GB2312" w:hAnsi="仿宋"/>
          <w:szCs w:val="32"/>
          <w:lang w:val="en-US" w:eastAsia="zh-CN"/>
        </w:rPr>
        <w:t>1</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10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val="en-US" w:eastAsia="zh-CN"/>
        </w:rPr>
        <w:t>政府公务接待。</w:t>
      </w:r>
      <w:r>
        <w:rPr>
          <w:rFonts w:hint="eastAsia" w:ascii="仿宋_GB2312" w:hAnsi="仿宋"/>
          <w:szCs w:val="32"/>
        </w:rPr>
        <w:t>经费使用贯彻中央八项规定</w:t>
      </w:r>
      <w:bookmarkStart w:id="0" w:name="_GoBack"/>
      <w:bookmarkEnd w:id="0"/>
      <w:r>
        <w:rPr>
          <w:rFonts w:hint="eastAsia" w:ascii="仿宋_GB2312" w:hAnsi="仿宋"/>
          <w:szCs w:val="32"/>
        </w:rPr>
        <w:t>和省委实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w:t>
      </w:r>
      <w:r>
        <w:rPr>
          <w:rFonts w:hint="eastAsia" w:ascii="仿宋_GB2312" w:hAnsi="仿宋"/>
          <w:color w:val="auto"/>
          <w:szCs w:val="32"/>
        </w:rPr>
        <w:t>《砀山县省内公务接待细则》（砀办发〔2022〕28号）等相关规定。</w:t>
      </w:r>
    </w:p>
    <w:p w14:paraId="06E42A34">
      <w:pPr>
        <w:ind w:firstLine="643" w:firstLineChars="200"/>
      </w:pPr>
      <w:r>
        <w:rPr>
          <w:rFonts w:hint="eastAsia" w:ascii="仿宋_GB2312" w:hAnsi="仿宋"/>
          <w:b/>
          <w:bCs/>
          <w:szCs w:val="32"/>
        </w:rPr>
        <w:t>3.公务用车购置及运行维护费</w:t>
      </w:r>
      <w:r>
        <w:rPr>
          <w:rFonts w:hint="eastAsia" w:ascii="仿宋_GB2312" w:hAnsi="仿宋"/>
          <w:szCs w:val="32"/>
        </w:rPr>
        <w:t>预算为</w:t>
      </w:r>
      <w:r>
        <w:rPr>
          <w:rFonts w:hint="eastAsia" w:ascii="仿宋_GB2312" w:hAnsi="仿宋"/>
          <w:szCs w:val="32"/>
          <w:lang w:val="en-US" w:eastAsia="zh-CN"/>
        </w:rPr>
        <w:t>1.79</w:t>
      </w:r>
      <w:r>
        <w:rPr>
          <w:rFonts w:hint="eastAsia" w:ascii="仿宋_GB2312" w:hAnsi="仿宋"/>
          <w:szCs w:val="32"/>
        </w:rPr>
        <w:t>万元，支出决算为</w:t>
      </w:r>
      <w:r>
        <w:rPr>
          <w:rFonts w:hint="eastAsia" w:ascii="仿宋_GB2312" w:hAnsi="仿宋"/>
          <w:szCs w:val="32"/>
          <w:lang w:val="en-US" w:eastAsia="zh-CN"/>
        </w:rPr>
        <w:t>1.79</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4.27</w:t>
      </w:r>
      <w:r>
        <w:rPr>
          <w:rFonts w:hint="eastAsia" w:ascii="仿宋_GB2312" w:hAnsi="仿宋"/>
          <w:szCs w:val="32"/>
        </w:rPr>
        <w:t>万元，下降</w:t>
      </w:r>
      <w:r>
        <w:rPr>
          <w:rFonts w:hint="eastAsia" w:ascii="仿宋_GB2312" w:hAnsi="仿宋"/>
          <w:szCs w:val="32"/>
          <w:lang w:val="en-US" w:eastAsia="zh-CN"/>
        </w:rPr>
        <w:t>70.46</w:t>
      </w:r>
      <w:r>
        <w:rPr>
          <w:rFonts w:hint="eastAsia" w:ascii="仿宋_GB2312" w:hAnsi="仿宋"/>
          <w:szCs w:val="32"/>
        </w:rPr>
        <w:t>%。决算数小于预算数</w:t>
      </w:r>
      <w:r>
        <w:rPr>
          <w:rFonts w:hint="eastAsia" w:ascii="仿宋_GB2312" w:hAnsi="仿宋"/>
          <w:szCs w:val="32"/>
          <w:lang w:val="en-US" w:eastAsia="zh-CN"/>
        </w:rPr>
        <w:t>和上年数</w:t>
      </w:r>
      <w:r>
        <w:rPr>
          <w:rFonts w:hint="eastAsia" w:ascii="仿宋_GB2312" w:hAnsi="仿宋"/>
          <w:szCs w:val="32"/>
        </w:rPr>
        <w:t>的主要原因是</w:t>
      </w:r>
      <w:r>
        <w:rPr>
          <w:rFonts w:hint="eastAsia" w:ascii="仿宋_GB2312" w:hAnsi="仿宋"/>
          <w:szCs w:val="32"/>
          <w:lang w:val="en-US" w:eastAsia="zh-CN"/>
        </w:rPr>
        <w:t>公务车辆运行开支减少</w:t>
      </w:r>
      <w:r>
        <w:rPr>
          <w:rFonts w:hint="eastAsia" w:ascii="仿宋_GB2312" w:hAnsi="仿宋"/>
          <w:szCs w:val="32"/>
        </w:rPr>
        <w:t>。</w:t>
      </w:r>
      <w:r>
        <w:rPr>
          <w:rFonts w:hint="eastAsia" w:ascii="仿宋_GB2312" w:hAnsi="仿宋"/>
          <w:szCs w:val="32"/>
          <w:lang w:val="en-US" w:eastAsia="zh-CN"/>
        </w:rPr>
        <w:t>2024年没有安排公务用车购置费。</w:t>
      </w:r>
      <w:r>
        <w:rPr>
          <w:rFonts w:hint="eastAsia" w:ascii="仿宋_GB2312" w:hAnsi="仿宋"/>
          <w:szCs w:val="32"/>
        </w:rPr>
        <w:t>公务用车运行维护费预算为</w:t>
      </w:r>
      <w:r>
        <w:rPr>
          <w:rFonts w:hint="eastAsia" w:ascii="仿宋_GB2312" w:hAnsi="仿宋"/>
          <w:szCs w:val="32"/>
          <w:lang w:val="en-US" w:eastAsia="zh-CN"/>
        </w:rPr>
        <w:t>1.79</w:t>
      </w:r>
      <w:r>
        <w:rPr>
          <w:rFonts w:hint="eastAsia" w:ascii="仿宋_GB2312" w:hAnsi="仿宋"/>
          <w:szCs w:val="32"/>
        </w:rPr>
        <w:t>万元，支出决算为</w:t>
      </w:r>
      <w:r>
        <w:rPr>
          <w:rFonts w:hint="eastAsia" w:ascii="仿宋_GB2312" w:hAnsi="仿宋"/>
          <w:szCs w:val="32"/>
          <w:lang w:val="en-US" w:eastAsia="zh-CN"/>
        </w:rPr>
        <w:t>1.79</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4.27</w:t>
      </w:r>
      <w:r>
        <w:rPr>
          <w:rFonts w:hint="eastAsia" w:ascii="仿宋_GB2312" w:hAnsi="仿宋"/>
          <w:szCs w:val="32"/>
        </w:rPr>
        <w:t>万元，下降</w:t>
      </w:r>
      <w:r>
        <w:rPr>
          <w:rFonts w:hint="eastAsia" w:ascii="仿宋_GB2312" w:hAnsi="仿宋"/>
          <w:szCs w:val="32"/>
          <w:lang w:val="en-US" w:eastAsia="zh-CN"/>
        </w:rPr>
        <w:t>70.46</w:t>
      </w:r>
      <w:r>
        <w:rPr>
          <w:rFonts w:hint="eastAsia" w:ascii="仿宋_GB2312" w:hAnsi="仿宋"/>
          <w:szCs w:val="32"/>
        </w:rPr>
        <w:t>%。决算数小于预算数</w:t>
      </w:r>
      <w:r>
        <w:rPr>
          <w:rFonts w:hint="eastAsia" w:ascii="仿宋_GB2312" w:hAnsi="仿宋"/>
          <w:szCs w:val="32"/>
          <w:lang w:val="en-US" w:eastAsia="zh-CN"/>
        </w:rPr>
        <w:t>和上年数</w:t>
      </w:r>
      <w:r>
        <w:rPr>
          <w:rFonts w:hint="eastAsia" w:ascii="仿宋_GB2312" w:hAnsi="仿宋"/>
          <w:szCs w:val="32"/>
        </w:rPr>
        <w:t>的主要原因是</w:t>
      </w:r>
      <w:r>
        <w:rPr>
          <w:rFonts w:hint="eastAsia" w:ascii="仿宋_GB2312" w:hAnsi="仿宋"/>
          <w:szCs w:val="32"/>
          <w:lang w:val="en-US" w:eastAsia="zh-CN"/>
        </w:rPr>
        <w:t>公务车辆运行开支减少。</w:t>
      </w:r>
      <w:r>
        <w:rPr>
          <w:rFonts w:hint="eastAsia" w:ascii="仿宋_GB2312" w:hAnsi="仿宋"/>
          <w:szCs w:val="32"/>
        </w:rPr>
        <w:t>截至2024年12月31日，</w:t>
      </w:r>
      <w:r>
        <w:rPr>
          <w:rFonts w:hint="eastAsia" w:ascii="仿宋_GB2312" w:hAnsi="仿宋"/>
          <w:szCs w:val="32"/>
          <w:lang w:val="en-US" w:eastAsia="zh-CN"/>
        </w:rPr>
        <w:t>砀城镇人民政府</w:t>
      </w:r>
      <w:r>
        <w:rPr>
          <w:rFonts w:hint="eastAsia" w:ascii="仿宋_GB2312" w:hAnsi="仿宋"/>
          <w:szCs w:val="32"/>
        </w:rPr>
        <w:t>开支财政拨款的公务用车保有量为</w:t>
      </w:r>
      <w:r>
        <w:rPr>
          <w:rFonts w:hint="eastAsia" w:ascii="仿宋_GB2312" w:hAnsi="仿宋"/>
          <w:szCs w:val="32"/>
          <w:lang w:val="en-US" w:eastAsia="zh-CN"/>
        </w:rPr>
        <w:t>5</w:t>
      </w:r>
      <w:r>
        <w:rPr>
          <w:rFonts w:hint="eastAsia" w:ascii="仿宋_GB2312" w:hAnsi="仿宋"/>
          <w:szCs w:val="32"/>
        </w:rPr>
        <w:t>辆。</w:t>
      </w:r>
    </w:p>
    <w:p w14:paraId="3FEFA3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23F5"/>
    <w:rsid w:val="001423F5"/>
    <w:rsid w:val="00571B60"/>
    <w:rsid w:val="006905CA"/>
    <w:rsid w:val="009E4D63"/>
    <w:rsid w:val="0C1464BD"/>
    <w:rsid w:val="257D0D91"/>
    <w:rsid w:val="49BC2CFC"/>
    <w:rsid w:val="61A72427"/>
    <w:rsid w:val="6B734D63"/>
    <w:rsid w:val="724D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semiHidden/>
    <w:unhideWhenUsed/>
    <w:qFormat/>
    <w:uiPriority w:val="99"/>
    <w:pPr>
      <w:spacing w:after="120"/>
    </w:pPr>
  </w:style>
  <w:style w:type="character" w:customStyle="1" w:styleId="5">
    <w:name w:val="正文文本 Char"/>
    <w:basedOn w:val="4"/>
    <w:link w:val="2"/>
    <w:semiHidden/>
    <w:qFormat/>
    <w:uiPriority w:val="99"/>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1096</Words>
  <Characters>1237</Characters>
  <Lines>13</Lines>
  <Paragraphs>3</Paragraphs>
  <TotalTime>12</TotalTime>
  <ScaleCrop>false</ScaleCrop>
  <LinksUpToDate>false</LinksUpToDate>
  <CharactersWithSpaces>1281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2025-09-01T11:46:00Z</dcterms:created>
  <dc:creator>Administrator</dc:creator>
  <cp:lastModifiedBy>e掌蹲繁椒谡</cp:lastModifiedBy>
  <dcterms:modified xsi:type="dcterms:W3CDTF">2025-09-25T07:03:09Z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eyJoZGlkIjoiNDc1ZjFiNDJkNmQxNTkyYTE4MGVjNGEzZjA0YmRlOTgiLCJ1c2VySWQiOiIxNzQ0NzYzMDA0In0=</vt:lpwstr>
  </property>
  <property fmtid="{D5CDD505-2E9C-101B-9397-08002B2CF9AE}" pid="3" name="KSOProductBuildVer">
    <vt:lpwstr>2052-12.1.0.22529</vt:lpwstr>
  </property>
  <property fmtid="{D5CDD505-2E9C-101B-9397-08002B2CF9AE}" pid="4" name="ICV">
    <vt:lpwstr>81DDD61C42194322893AB604E124558A_12</vt:lpwstr>
  </property>
</Properties>
</file>